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7D21" w14:textId="77777777" w:rsidR="00075E3D" w:rsidRDefault="009B4C06" w:rsidP="009B4C06">
      <w:pPr>
        <w:jc w:val="right"/>
        <w:rPr>
          <w:bCs/>
          <w:rFonts w:asciiTheme="majorHAnsi" w:hAnsiTheme="majorHAnsi" w:cstheme="majorHAnsi"/>
        </w:rPr>
      </w:pPr>
      <w:bookmarkStart w:id="0" w:name="_t4fqutnei9ge"/>
      <w:bookmarkEnd w:id="0"/>
      <w:r>
        <w:rPr>
          <w:rFonts w:asciiTheme="majorHAnsi" w:hAnsiTheme="majorHAnsi"/>
        </w:rPr>
        <w:t xml:space="preserve">Pressemitteilung</w:t>
      </w:r>
    </w:p>
    <w:p w14:paraId="1F4437F4" w14:textId="2F56A2F6" w:rsidR="009B4C06" w:rsidRDefault="009B4C06" w:rsidP="009B4C06">
      <w:pPr>
        <w:jc w:val="right"/>
        <w:rPr>
          <w:bCs/>
          <w:rFonts w:asciiTheme="majorHAnsi" w:hAnsiTheme="majorHAnsi" w:cstheme="majorHAnsi"/>
        </w:rPr>
      </w:pPr>
      <w:r>
        <w:rPr>
          <w:rFonts w:asciiTheme="majorHAnsi" w:hAnsiTheme="majorHAnsi"/>
        </w:rPr>
        <w:t xml:space="preserve">Grenchen, 15. August 2025</w:t>
      </w:r>
    </w:p>
    <w:p w14:paraId="7D7DB56A" w14:textId="6E6A8C46" w:rsidR="009B4C06" w:rsidRPr="009B4C06" w:rsidRDefault="009B4C06" w:rsidP="009B4C06">
      <w:pPr>
        <w:jc w:val="right"/>
        <w:rPr>
          <w:bCs/>
          <w:rFonts w:asciiTheme="majorHAnsi" w:hAnsiTheme="majorHAnsi" w:cstheme="majorHAnsi"/>
        </w:rPr>
      </w:pPr>
      <w:r>
        <w:rPr>
          <w:rFonts w:asciiTheme="majorHAnsi" w:hAnsiTheme="majorHAnsi"/>
        </w:rPr>
        <w:t xml:space="preserve">Zur sofortigen Veröffentlichung</w:t>
      </w:r>
    </w:p>
    <w:p w14:paraId="5C5D2D89" w14:textId="77777777" w:rsidR="009B4C06" w:rsidRPr="009B4C06" w:rsidRDefault="009B4C06" w:rsidP="009B4C06"/>
    <w:p w14:paraId="06AE0F74" w14:textId="77777777" w:rsidR="009B4C06" w:rsidRPr="009B4C06" w:rsidRDefault="009B4C06" w:rsidP="009B4C06"/>
    <w:p w14:paraId="00000001" w14:textId="78BFEA76" w:rsidR="00546167" w:rsidRDefault="00075E3D">
      <w:pPr>
        <w:pStyle w:val="Heading3"/>
        <w:spacing w:before="0" w:after="40"/>
        <w:jc w:val="center"/>
      </w:pPr>
      <w:r>
        <w:rPr>
          <w:b/>
          <w:sz w:val="24"/>
          <w:rFonts w:ascii="Helvetica Neue" w:hAnsi="Helvetica Neue"/>
        </w:rPr>
        <w:t xml:space="preserve">Favre Leuba erweitert Chief Chronograph Kollektion durch zwei auffällige neue Ziffernblattfarben:</w:t>
      </w:r>
      <w:r>
        <w:rPr>
          <w:b/>
          <w:sz w:val="24"/>
          <w:rFonts w:ascii="Helvetica Neue" w:hAnsi="Helvetica Neue"/>
        </w:rPr>
        <w:t xml:space="preserve"> </w:t>
      </w:r>
      <w:r>
        <w:rPr>
          <w:b/>
          <w:sz w:val="24"/>
          <w:rFonts w:ascii="Helvetica Neue" w:hAnsi="Helvetica Neue"/>
        </w:rPr>
        <w:t xml:space="preserve">British Racing Green und Dune</w:t>
      </w:r>
      <w:r>
        <w:rPr>
          <w:b/>
          <w:sz w:val="24"/>
          <w:rFonts w:ascii="Helvetica Neue" w:hAnsi="Helvetica Neue"/>
        </w:rPr>
        <w:t xml:space="preserve"> </w:t>
      </w:r>
    </w:p>
    <w:p w14:paraId="00000002" w14:textId="14FCAB84" w:rsidR="00546167" w:rsidRDefault="00075E3D">
      <w:pPr>
        <w:spacing w:before="240" w:after="240"/>
      </w:pPr>
      <w:r>
        <w:t xml:space="preserve">Die Chief Chronograph wurde im Jahr 2024 auf den Markt gebracht. Die Kollektion mit dem kissenförmigen Gehäuse ist von den Favre Leuba Chronograph-Uhren der 1970er inspiriert und wurde jetzt mit British Racing Green und Dune durch zwei raffinierte Ziffernblattfarben ergänzt.</w:t>
      </w:r>
      <w:r>
        <w:t xml:space="preserve"> </w:t>
      </w:r>
      <w:r>
        <w:t xml:space="preserve">Diese neuen Varianten verleihen dem unverkennbaren Design des Modells einen neuartigen Charakter und bleiben zugleich den Wurzeln der Kollektion treu.</w:t>
      </w:r>
    </w:p>
    <w:p w14:paraId="00000003" w14:textId="77777777" w:rsidR="00546167" w:rsidRDefault="00075E3D">
      <w:pPr>
        <w:spacing w:before="240" w:after="240"/>
        <w:rPr>
          <w:sz w:val="26"/>
          <w:szCs w:val="26"/>
        </w:rPr>
      </w:pPr>
      <w:r>
        <w:rPr>
          <w:sz w:val="26"/>
        </w:rPr>
        <w:t xml:space="preserve">Über 100 Schritte für ein Ziffernblatt</w:t>
      </w:r>
    </w:p>
    <w:p w14:paraId="00000004" w14:textId="77777777" w:rsidR="00546167" w:rsidRDefault="00075E3D">
      <w:pPr>
        <w:spacing w:before="240" w:after="240"/>
      </w:pPr>
      <w:r>
        <w:t xml:space="preserve">Als die Chief Chronograph 2024 wiederbelebt wurde, fiel sie schnell durch ihr besonderes Ziffernblatt auf.</w:t>
      </w:r>
      <w:r>
        <w:t xml:space="preserve"> </w:t>
      </w:r>
      <w:r>
        <w:t xml:space="preserve">Jedes Ziffernblatt ist ein erstaunlich komplexes Gebilde, das in einem mehr als hundert Einzelschritte umfassenden Prozess geschaffen wird.</w:t>
      </w:r>
      <w:r>
        <w:t xml:space="preserve"> </w:t>
      </w:r>
      <w:r>
        <w:t xml:space="preserve">Das Ergebnis ist eine mehrdimensionale Leinwand, auf der mehrere Oberflächeneffekte miteinander harmonieren: eine strahlenförmige Hauptskala, kreisförmige gebürstete Hilfsskalen und ein geripptes Konturmuster, das für zusätzliche strukturelle und optische Dynamik sorgt.</w:t>
      </w:r>
      <w:r>
        <w:t xml:space="preserve"> </w:t>
      </w:r>
      <w:r>
        <w:t xml:space="preserve">Die Ausführung dieser Schichten verlangt absolute Präzision, nicht nur bezüglich der Textur, sondern auch für das gleichmäßige Aufbringen von Farbe auf die gewellten Oberflächen des Ziffernblatts.</w:t>
      </w:r>
    </w:p>
    <w:p w14:paraId="00000005" w14:textId="48217A5E" w:rsidR="00546167" w:rsidRDefault="00075E3D">
      <w:pPr>
        <w:spacing w:before="240" w:after="240"/>
      </w:pPr>
      <w:r>
        <w:t xml:space="preserve">Diese Komplexität engt die farblichen Auswahlmöglichkeiten ein.</w:t>
      </w:r>
      <w:r>
        <w:t xml:space="preserve"> </w:t>
      </w:r>
      <w:r>
        <w:t xml:space="preserve">Nur wenige können den Prozess ohne Einbuße an Klarheit, Brillanz und Ausgewogenheit überstehen.</w:t>
      </w:r>
      <w:r>
        <w:t xml:space="preserve"> </w:t>
      </w:r>
      <w:r>
        <w:t xml:space="preserve">British Racing Green und Dune stoßen jetzt zu den erfolgreichen Originalausführungen in Blau, Schwarz und Eisblau. Sie wurden sorgfältig getestet und perfektioniert, um den kompromisslosen Standards von Favre Leuba zu genügen.</w:t>
      </w:r>
    </w:p>
    <w:p w14:paraId="00000006" w14:textId="77777777" w:rsidR="00546167" w:rsidRDefault="00075E3D">
      <w:pPr>
        <w:pStyle w:val="Heading3"/>
        <w:keepNext w:val="0"/>
        <w:keepLines w:val="0"/>
        <w:spacing w:before="280"/>
        <w:rPr>
          <w:color w:val="000000"/>
          <w:sz w:val="26"/>
          <w:szCs w:val="26"/>
        </w:rPr>
      </w:pPr>
      <w:bookmarkStart w:id="1" w:name="_n6l8sjse3tx3"/>
      <w:bookmarkEnd w:id="1"/>
      <w:r>
        <w:rPr>
          <w:color w:val="000000"/>
          <w:sz w:val="26"/>
        </w:rPr>
        <w:t xml:space="preserve">Chief Chronograph British Racing Green</w:t>
      </w:r>
    </w:p>
    <w:p w14:paraId="303410AD" w14:textId="77777777" w:rsidR="00AB329D" w:rsidRDefault="00AB329D" w:rsidP="00AB329D"/>
    <w:p w14:paraId="45F60342" w14:textId="2626F431" w:rsidR="00AB329D" w:rsidRPr="00AB329D" w:rsidRDefault="00AB329D" w:rsidP="00AB329D">
      <w:pPr>
        <w:autoSpaceDE w:val="0"/>
        <w:autoSpaceDN w:val="0"/>
        <w:adjustRightInd w:val="0"/>
        <w:spacing w:line="240" w:lineRule="auto"/>
      </w:pPr>
      <w:r>
        <w:t xml:space="preserve">Die Chief Chronograph British Racing Green ist eine wagemutige und energiegeladene Auslegung dieser legendären Farbe.</w:t>
      </w:r>
      <w:r>
        <w:t xml:space="preserve"> </w:t>
      </w:r>
      <w:r>
        <w:t xml:space="preserve">Der Farbton wurde im Jahr 1903 mit den britischen Rennpionieren geboren und steht für eine Legende: knatternde Motoren, glitzerndes Chrom und Champions, denen es nicht um leichtes Vergnügen, sondern um Ruhm ging.</w:t>
      </w:r>
      <w:r>
        <w:t xml:space="preserve"> </w:t>
      </w:r>
      <w:r>
        <w:t xml:space="preserve">Favre Leuba bringt diesen geschichtsträchtigen Farbton nun an das Handgelenk von Abenteurern, fängt sein Erbe ein und formt es für moderne Visionen um.</w:t>
      </w:r>
    </w:p>
    <w:p w14:paraId="53F50BFA" w14:textId="3F9E865F" w:rsidR="00D0639C" w:rsidRPr="00AB329D" w:rsidRDefault="00D0639C" w:rsidP="00D0639C">
      <w:pPr>
        <w:spacing w:before="240" w:after="240"/>
      </w:pPr>
      <w:r>
        <w:t xml:space="preserve">Der satte grüne Farbton wechselt mit jeder Bewegung – waldgrün im Sonnenlicht, dunkler und launischer bei bedecktem Himmel.</w:t>
      </w:r>
      <w:r>
        <w:t xml:space="preserve"> </w:t>
      </w:r>
      <w:r>
        <w:t xml:space="preserve">Ein Sonnenstrahl-Finish betont die Lebendigkeit, während die Ränder und Hilfsskalen von kontrastierenden Tönen umrahmt sind, die für Ausgleich und Struktur sorgen.</w:t>
      </w:r>
      <w:r>
        <w:t xml:space="preserve"> </w:t>
      </w:r>
      <w:r>
        <w:t xml:space="preserve">Diese kühne neue Version macht sich mit zielstrebiger Mechanik das Grün der Rennlegenden zu eigen, passend für das Handgelenk von Abenteurern.</w:t>
      </w:r>
    </w:p>
    <w:p w14:paraId="00000008" w14:textId="77777777" w:rsidR="00546167" w:rsidRDefault="00075E3D">
      <w:pPr>
        <w:pStyle w:val="Heading3"/>
        <w:keepNext w:val="0"/>
        <w:keepLines w:val="0"/>
        <w:spacing w:before="280"/>
      </w:pPr>
      <w:bookmarkStart w:id="2" w:name="_e9ji0xwvidnv"/>
      <w:bookmarkEnd w:id="2"/>
      <w:r>
        <w:rPr>
          <w:color w:val="000000"/>
          <w:sz w:val="26"/>
        </w:rPr>
        <w:t xml:space="preserve">Chief Chronograph Dune</w:t>
      </w:r>
    </w:p>
    <w:p w14:paraId="00000009" w14:textId="706BD7E0" w:rsidR="00546167" w:rsidRDefault="00D0639C">
      <w:r>
        <w:br/>
      </w:r>
      <w:r>
        <w:t xml:space="preserve">Chief Chronograph Dune bietet Eleganz der unauffälligeren Art</w:t>
      </w:r>
      <w:r>
        <w:t xml:space="preserve"> </w:t>
      </w:r>
      <w:r>
        <w:t xml:space="preserve">Ihr warmer, sandiger Farbton auf einem gebürsteten Ziffernblatt in Sonnenstrahl-Ausführung schwankt zwischen Beige und weichem Gold.</w:t>
      </w:r>
      <w:r>
        <w:t xml:space="preserve"> </w:t>
      </w:r>
      <w:r>
        <w:t xml:space="preserve">Raffinierte kontrastierende Farbtöne und die satten rotgoldenen Zeiger und Indizes verleihen dem Aufbau des Ziffernblatts Ausgewogenheit und Harmonie – subtil und doch eindeutig und individuell.</w:t>
      </w:r>
    </w:p>
    <w:p w14:paraId="0000000A" w14:textId="77777777" w:rsidR="00546167" w:rsidRDefault="00075E3D">
      <w:pPr>
        <w:pStyle w:val="Heading3"/>
        <w:keepNext w:val="0"/>
        <w:keepLines w:val="0"/>
        <w:spacing w:before="280"/>
      </w:pPr>
      <w:bookmarkStart w:id="3" w:name="_c0xoa7sto6c6"/>
      <w:bookmarkEnd w:id="3"/>
      <w:r>
        <w:rPr>
          <w:color w:val="000000"/>
          <w:sz w:val="26"/>
        </w:rPr>
        <w:t xml:space="preserve">Fließende Proportionen, höchster Tragekomfort</w:t>
      </w:r>
    </w:p>
    <w:p w14:paraId="0000000B" w14:textId="609789A9" w:rsidR="00546167" w:rsidRDefault="00075E3D">
      <w:r>
        <w:t xml:space="preserve">Beide Varianten sind mit dem typischen kissenförmigen 41-mm-Gehäuse aus Edelstahl der Chief Chronograph mit seinen harmonisch wirkenden gebürsteten und polierten Oberflächen ausgestattet.</w:t>
      </w:r>
      <w:r>
        <w:t xml:space="preserve"> </w:t>
      </w:r>
      <w:r>
        <w:t xml:space="preserve">Mit ihrer Dicke von 14 mm bieten sie ausgezeichneten Tragekomfort. Das Gehäuse wiederum ist wasserfest bis 10 ATM.</w:t>
      </w:r>
    </w:p>
    <w:p w14:paraId="0000000C" w14:textId="77777777" w:rsidR="00546167" w:rsidRDefault="00546167"/>
    <w:p w14:paraId="0000000D" w14:textId="77777777" w:rsidR="00546167" w:rsidRDefault="00075E3D">
      <w:r>
        <w:t xml:space="preserve">Für jede Uhr stehen ein integriertes zweigliedriges Stahlarmband mit gebürsteten und polierten Oberflächen und ein zusätzliches FKM-Gummiband bereit – für Komfort, Vielseitigkeit und nahtlose Ästhetik.</w:t>
      </w:r>
    </w:p>
    <w:p w14:paraId="0000000E" w14:textId="77777777" w:rsidR="00546167" w:rsidRDefault="00075E3D">
      <w:pPr>
        <w:pStyle w:val="Heading3"/>
        <w:keepNext w:val="0"/>
        <w:keepLines w:val="0"/>
        <w:spacing w:before="280"/>
        <w:rPr>
          <w:color w:val="000000"/>
          <w:sz w:val="26"/>
          <w:szCs w:val="26"/>
        </w:rPr>
      </w:pPr>
      <w:bookmarkStart w:id="4" w:name="_ughyawyucpgw"/>
      <w:bookmarkEnd w:id="4"/>
      <w:r>
        <w:rPr>
          <w:color w:val="000000"/>
          <w:sz w:val="26"/>
        </w:rPr>
        <w:t xml:space="preserve">Randvoll mit Präzision</w:t>
      </w:r>
      <w:r>
        <w:rPr>
          <w:color w:val="000000"/>
          <w:sz w:val="26"/>
        </w:rPr>
        <w:t xml:space="preserve"> </w:t>
      </w:r>
    </w:p>
    <w:p w14:paraId="0000000F" w14:textId="0F6A9408" w:rsidR="00546167" w:rsidRDefault="00075E3D">
      <w:pPr>
        <w:spacing w:before="240" w:after="240"/>
      </w:pPr>
      <w:r>
        <w:t xml:space="preserve">Durch den transparenten Gehäuserücken aus Saphirkristall ist im Inneren das automatische FLC02-Uhrwerk zu sehen, das gemeinsam mit La Joux-Perret entwickelt wurde.</w:t>
      </w:r>
      <w:r>
        <w:t xml:space="preserve"> </w:t>
      </w:r>
      <w:r>
        <w:t xml:space="preserve">Dieses Hochleistungskaliber verfügt über ein wärmegebläutes Säulenrad, das für einen präzisen Uhrwerkeingriff sorgt.</w:t>
      </w:r>
      <w:r>
        <w:t xml:space="preserve"> </w:t>
      </w:r>
      <w:r>
        <w:t xml:space="preserve">Ein Säulenrad bietet mehr Präzision und Genauigkeit als ein nockenbetriebener Mechanismus. In den Chief Chronograph-Uhren wird dieses Bauteil einem komplexen Bläungsprozess unterzogen, der auch seine Härte steigert.</w:t>
      </w:r>
      <w:r>
        <w:t xml:space="preserve"> </w:t>
      </w:r>
      <w:r>
        <w:t xml:space="preserve">Dieser Vorgang erfordert höchste Sorgfalt, da er selbst bei der kleinsten Abweichung wieder von vorne begonnen werden muss.</w:t>
      </w:r>
    </w:p>
    <w:p w14:paraId="00000010" w14:textId="294173B1" w:rsidR="00546167" w:rsidRDefault="00015692">
      <w:pPr>
        <w:spacing w:before="240" w:after="240"/>
      </w:pPr>
      <w:r>
        <w:t xml:space="preserve">Das Ziffernblatt zeigt eine horizontale Bi-Compax-Anordnung der Hilfsskalen: ein 30-Minuten-Chronographenzähler bei drei Uhr und die laufenden Sekunden bei neun Uhr.</w:t>
      </w:r>
      <w:r>
        <w:t xml:space="preserve"> </w:t>
      </w:r>
      <w:r>
        <w:t xml:space="preserve">Dieses Layout ermöglicht nicht nur das Ablesen der verstreichenden Minuten und Sekunden auf einen Blick, sondern sorgt auch für eine saubere, ausgeglichene und übersichtliche Anzeige.</w:t>
      </w:r>
    </w:p>
    <w:p w14:paraId="00000011" w14:textId="240C014C" w:rsidR="00546167" w:rsidRDefault="00075E3D">
      <w:pPr>
        <w:spacing w:before="240" w:after="240"/>
        <w:rPr>
          <w:b/>
          <w:rFonts w:ascii="Calibri" w:eastAsia="Calibri" w:hAnsi="Calibri" w:cs="Calibri"/>
        </w:rPr>
      </w:pPr>
      <w:r>
        <w:t xml:space="preserve">Das Uhrwerk verfügt über schönen Streifenschliff, Perlierung und wärmegebläute Schrauben am Hauptkaliber.</w:t>
      </w:r>
      <w:r>
        <w:t xml:space="preserve"> </w:t>
      </w:r>
      <w:r>
        <w:t xml:space="preserve">Darüber sitzt ein skelettierter Rotor, der mit einer spiralgebürsteten </w:t>
      </w:r>
      <w:r>
        <w:rPr>
          <w:i/>
        </w:rPr>
        <w:t xml:space="preserve">colimaçonnage</w:t>
      </w:r>
      <w:r>
        <w:t xml:space="preserve"> and </w:t>
      </w:r>
      <w:r>
        <w:rPr>
          <w:i/>
        </w:rPr>
        <w:t xml:space="preserve">soleillage</w:t>
      </w:r>
      <w:r>
        <w:t xml:space="preserve"> (Sonnenstrahlmuster) geschmückt ist.</w:t>
      </w:r>
    </w:p>
    <w:p w14:paraId="00000012" w14:textId="77777777" w:rsidR="00546167" w:rsidRDefault="00075E3D">
      <w:pPr>
        <w:spacing w:before="240" w:after="240"/>
        <w:rPr>
          <w:b/>
          <w:rFonts w:ascii="Calibri" w:eastAsia="Calibri" w:hAnsi="Calibri" w:cs="Calibri"/>
        </w:rPr>
      </w:pPr>
      <w:r>
        <w:rPr>
          <w:b/>
          <w:rFonts w:ascii="Calibri" w:hAnsi="Calibri"/>
        </w:rPr>
        <w:t xml:space="preserve">Chief Chronograph – Technische Daten</w:t>
      </w:r>
    </w:p>
    <w:p w14:paraId="00000013" w14:textId="48950A72" w:rsidR="00546167" w:rsidRDefault="00075E3D">
      <w:pPr>
        <w:spacing w:before="240" w:after="240"/>
        <w:rPr>
          <w:rFonts w:ascii="Calibri" w:eastAsia="Calibri" w:hAnsi="Calibri" w:cs="Calibri"/>
        </w:rPr>
      </w:pPr>
      <w:r>
        <w:rPr>
          <w:b/>
          <w:rFonts w:ascii="Calibri" w:hAnsi="Calibri"/>
        </w:rPr>
        <w:t xml:space="preserve">Gehäuse:</w:t>
      </w:r>
      <w:r>
        <w:rPr>
          <w:b/>
          <w:rFonts w:ascii="Calibri" w:hAnsi="Calibri"/>
        </w:rPr>
        <w:t xml:space="preserve"> </w:t>
      </w:r>
      <w:r>
        <w:rPr>
          <w:rFonts w:ascii="Calibri" w:hAnsi="Calibri"/>
        </w:rPr>
        <w:t xml:space="preserve">Edelstahl mit gebürsteten und polierten Oberflächen, wasserfest bis 10 ATM, geschwungener Saphirkristall mit Antireflexionsbeschichtung, Saphirkristall-Gehäuserücken und Krone mit geprägtem Monogramm</w:t>
      </w:r>
    </w:p>
    <w:p w14:paraId="3DD0E105" w14:textId="77777777" w:rsidR="00075E3D" w:rsidRDefault="00075E3D">
      <w:pPr>
        <w:spacing w:before="240" w:after="240"/>
        <w:rPr>
          <w:rFonts w:ascii="Calibri" w:eastAsia="Calibri" w:hAnsi="Calibri" w:cs="Calibri"/>
        </w:rPr>
      </w:pPr>
      <w:r>
        <w:rPr>
          <w:b/>
          <w:rFonts w:ascii="Calibri" w:hAnsi="Calibri"/>
        </w:rPr>
        <w:t xml:space="preserve">Durchmesser:</w:t>
      </w:r>
      <w:r>
        <w:rPr>
          <w:rFonts w:ascii="Calibri" w:hAnsi="Calibri"/>
        </w:rPr>
        <w:t xml:space="preserve"> </w:t>
      </w:r>
      <w:r>
        <w:rPr>
          <w:rFonts w:ascii="Calibri" w:hAnsi="Calibri"/>
        </w:rPr>
        <w:t xml:space="preserve">41 mm</w:t>
      </w:r>
      <w:r>
        <w:rPr>
          <w:rFonts w:ascii="Calibri" w:hAnsi="Calibri"/>
        </w:rPr>
        <w:t xml:space="preserve"> </w:t>
      </w:r>
    </w:p>
    <w:p w14:paraId="00000014" w14:textId="14CDFF89" w:rsidR="00546167" w:rsidRDefault="00075E3D">
      <w:pPr>
        <w:spacing w:before="240" w:after="240"/>
        <w:rPr>
          <w:rFonts w:ascii="Calibri" w:eastAsia="Calibri" w:hAnsi="Calibri" w:cs="Calibri"/>
        </w:rPr>
      </w:pPr>
      <w:r>
        <w:rPr>
          <w:b/>
          <w:rFonts w:ascii="Calibri" w:hAnsi="Calibri"/>
        </w:rPr>
        <w:t xml:space="preserve">Dicke:</w:t>
      </w:r>
      <w:r>
        <w:rPr>
          <w:b/>
          <w:rFonts w:ascii="Calibri" w:hAnsi="Calibri"/>
        </w:rPr>
        <w:t xml:space="preserve"> </w:t>
      </w:r>
      <w:r>
        <w:rPr>
          <w:rFonts w:ascii="Calibri" w:hAnsi="Calibri"/>
        </w:rPr>
        <w:t xml:space="preserve">14 mm</w:t>
      </w:r>
      <w:r>
        <w:rPr>
          <w:rFonts w:ascii="Calibri" w:hAnsi="Calibri"/>
        </w:rPr>
        <w:t xml:space="preserve"> </w:t>
      </w:r>
    </w:p>
    <w:p w14:paraId="00000015" w14:textId="7CBEEE41" w:rsidR="00546167" w:rsidRDefault="00075E3D">
      <w:pPr>
        <w:spacing w:before="240" w:after="240"/>
        <w:rPr>
          <w:rFonts w:ascii="Calibri" w:eastAsia="Calibri" w:hAnsi="Calibri" w:cs="Calibri"/>
        </w:rPr>
      </w:pPr>
      <w:r>
        <w:rPr>
          <w:b/>
          <w:rFonts w:ascii="Calibri" w:hAnsi="Calibri"/>
        </w:rPr>
        <w:t xml:space="preserve">Uhrwerk:</w:t>
      </w:r>
      <w:r>
        <w:rPr>
          <w:rFonts w:ascii="Calibri" w:hAnsi="Calibri"/>
        </w:rPr>
        <w:t xml:space="preserve"> </w:t>
      </w:r>
      <w:r>
        <w:rPr>
          <w:rFonts w:ascii="Calibri" w:hAnsi="Calibri"/>
        </w:rPr>
        <w:t xml:space="preserve">FLC02, selbstaufziehendes Säulenrad-Chronograph-Kaliber, 68 Stunden Leistungsreserve, 28.800 vph (4 Hz) Frequenz, 24 Juwelen, Côtes de Genéve, gebläute Schrauben und Perlierung</w:t>
      </w:r>
    </w:p>
    <w:p w14:paraId="00000016" w14:textId="60440BDA" w:rsidR="00546167" w:rsidRDefault="00075E3D">
      <w:pPr>
        <w:spacing w:before="240" w:after="240"/>
        <w:rPr>
          <w:rFonts w:ascii="Calibri" w:eastAsia="Calibri" w:hAnsi="Calibri" w:cs="Calibri"/>
        </w:rPr>
      </w:pPr>
      <w:r>
        <w:rPr>
          <w:b/>
          <w:rFonts w:ascii="Calibri" w:hAnsi="Calibri"/>
        </w:rPr>
        <w:t xml:space="preserve">Funktionen:</w:t>
      </w:r>
      <w:r>
        <w:rPr>
          <w:b/>
          <w:rFonts w:ascii="Calibri" w:hAnsi="Calibri"/>
        </w:rPr>
        <w:t xml:space="preserve"> </w:t>
      </w:r>
      <w:r>
        <w:rPr>
          <w:rFonts w:ascii="Calibri" w:hAnsi="Calibri"/>
        </w:rPr>
        <w:t xml:space="preserve">Kleine Sekunden, Chronograph, Tachymeter</w:t>
      </w:r>
      <w:r>
        <w:rPr>
          <w:rFonts w:ascii="Calibri" w:hAnsi="Calibri"/>
        </w:rPr>
        <w:t xml:space="preserve"> </w:t>
      </w:r>
    </w:p>
    <w:p w14:paraId="00000017" w14:textId="414EE416" w:rsidR="00546167" w:rsidRDefault="00075E3D">
      <w:pPr>
        <w:spacing w:before="240" w:after="240"/>
        <w:rPr>
          <w:rFonts w:ascii="Calibri" w:eastAsia="Calibri" w:hAnsi="Calibri" w:cs="Calibri"/>
        </w:rPr>
      </w:pPr>
      <w:r>
        <w:rPr>
          <w:b/>
          <w:rFonts w:ascii="Calibri" w:hAnsi="Calibri"/>
        </w:rPr>
        <w:t xml:space="preserve">Ziffernblatt:</w:t>
      </w:r>
      <w:r>
        <w:rPr>
          <w:rFonts w:ascii="Calibri" w:hAnsi="Calibri"/>
        </w:rPr>
        <w:t xml:space="preserve"> </w:t>
      </w:r>
      <w:r>
        <w:rPr>
          <w:rFonts w:ascii="Calibri" w:hAnsi="Calibri"/>
        </w:rPr>
        <w:t xml:space="preserve">Sonnenstrahl-Grundfinish, kreisförmig gebürstete Hilfsziffernblätter, 3D-Logo im Ziffernblatt, Innenring-Tachymeter mit gedruckten Details, Mehrfacettenzeiger und aufgebrachte Indizes, gebürstet und sandgestrahlt, Super-LumiNova X1 mit blauem Nachleuchten an Zeigern und Indizes</w:t>
      </w:r>
      <w:r>
        <w:rPr>
          <w:rFonts w:ascii="Calibri" w:hAnsi="Calibri"/>
        </w:rPr>
        <w:t xml:space="preserve"> </w:t>
      </w:r>
    </w:p>
    <w:p w14:paraId="00000018" w14:textId="727323C3" w:rsidR="00546167" w:rsidRDefault="00075E3D">
      <w:pPr>
        <w:spacing w:before="240" w:after="240"/>
        <w:rPr>
          <w:sz w:val="20"/>
          <w:szCs w:val="20"/>
          <w:rFonts w:ascii="Helvetica Neue" w:eastAsia="Helvetica Neue" w:hAnsi="Helvetica Neue" w:cs="Helvetica Neue"/>
        </w:rPr>
      </w:pPr>
      <w:r>
        <w:rPr>
          <w:sz w:val="20"/>
          <w:b/>
          <w:rFonts w:ascii="Helvetica Neue" w:hAnsi="Helvetica Neue"/>
        </w:rPr>
        <w:t xml:space="preserve">Armband:</w:t>
      </w:r>
      <w:r>
        <w:rPr>
          <w:sz w:val="20"/>
          <w:rFonts w:ascii="Helvetica Neue" w:hAnsi="Helvetica Neue"/>
        </w:rPr>
        <w:t xml:space="preserve"> </w:t>
      </w:r>
      <w:r>
        <w:rPr>
          <w:sz w:val="20"/>
          <w:rFonts w:ascii="Helvetica Neue" w:hAnsi="Helvetica Neue"/>
        </w:rPr>
        <w:t xml:space="preserve">Zweigliedriges integriertes Stahlarmband, vertikal gebürstete und polierte Mittelglieder.</w:t>
      </w:r>
      <w:r>
        <w:rPr>
          <w:sz w:val="20"/>
          <w:rFonts w:ascii="Helvetica Neue" w:hAnsi="Helvetica Neue"/>
        </w:rPr>
        <w:t xml:space="preserve"> </w:t>
      </w:r>
      <w:r>
        <w:rPr>
          <w:sz w:val="20"/>
          <w:rFonts w:ascii="Helvetica Neue" w:hAnsi="Helvetica Neue"/>
        </w:rPr>
        <w:t xml:space="preserve">Mit Schnellwechselmechanismus, gesichert durch Butterfly-Schließe</w:t>
      </w:r>
    </w:p>
    <w:p w14:paraId="00000019" w14:textId="28E9C67E" w:rsidR="00546167" w:rsidRDefault="00075E3D">
      <w:pPr>
        <w:spacing w:before="240" w:after="240"/>
        <w:rPr>
          <w:sz w:val="20"/>
          <w:szCs w:val="20"/>
          <w:rFonts w:ascii="Helvetica Neue" w:eastAsia="Helvetica Neue" w:hAnsi="Helvetica Neue" w:cs="Helvetica Neue"/>
        </w:rPr>
      </w:pPr>
      <w:r>
        <w:rPr>
          <w:sz w:val="20"/>
          <w:b/>
          <w:rFonts w:ascii="Helvetica Neue" w:hAnsi="Helvetica Neue"/>
        </w:rPr>
        <w:t xml:space="preserve">Uhrband</w:t>
      </w:r>
      <w:r>
        <w:rPr>
          <w:sz w:val="20"/>
          <w:rFonts w:ascii="Helvetica Neue" w:hAnsi="Helvetica Neue"/>
        </w:rPr>
        <w:t xml:space="preserve">:</w:t>
      </w:r>
      <w:r>
        <w:rPr>
          <w:sz w:val="20"/>
          <w:rFonts w:ascii="Helvetica Neue" w:hAnsi="Helvetica Neue"/>
        </w:rPr>
        <w:t xml:space="preserve"> </w:t>
      </w:r>
      <w:r>
        <w:rPr>
          <w:sz w:val="20"/>
          <w:rFonts w:ascii="Helvetica Neue" w:hAnsi="Helvetica Neue"/>
        </w:rPr>
        <w:t xml:space="preserve">Robuste FKM-Gummibänder in Sandfarben und Grün passend zum Ziffernblatt erhältlich, befestigt mit einer Edelstahl-Stiftschnalle mit eingraviertem Favre Leuba-Logo</w:t>
      </w:r>
    </w:p>
    <w:p w14:paraId="54D76255" w14:textId="77777777" w:rsidR="00075E3D" w:rsidRDefault="00075E3D">
      <w:pPr>
        <w:spacing w:before="240" w:after="240"/>
        <w:rPr>
          <w:rFonts w:ascii="Calibri" w:eastAsia="Calibri" w:hAnsi="Calibri" w:cs="Calibri"/>
        </w:rPr>
      </w:pPr>
      <w:r>
        <w:rPr>
          <w:b/>
          <w:rFonts w:ascii="Calibri" w:hAnsi="Calibri"/>
        </w:rPr>
        <w:t xml:space="preserve">Preis:</w:t>
      </w:r>
      <w:r>
        <w:rPr>
          <w:rFonts w:ascii="Calibri" w:hAnsi="Calibri"/>
        </w:rPr>
        <w:t xml:space="preserve"> </w:t>
      </w:r>
    </w:p>
    <w:p w14:paraId="5E86B21C" w14:textId="77777777" w:rsidR="00075E3D" w:rsidRDefault="00075E3D">
      <w:pPr>
        <w:spacing w:before="240" w:after="240"/>
        <w:rPr>
          <w:rFonts w:ascii="Calibri" w:eastAsia="Calibri" w:hAnsi="Calibri" w:cs="Calibri"/>
        </w:rPr>
      </w:pPr>
      <w:r>
        <w:rPr>
          <w:rFonts w:ascii="Calibri" w:hAnsi="Calibri"/>
        </w:rPr>
        <w:t xml:space="preserve">Stahlarmband:</w:t>
      </w:r>
      <w:r>
        <w:rPr>
          <w:rFonts w:ascii="Calibri" w:hAnsi="Calibri"/>
        </w:rPr>
        <w:t xml:space="preserve"> </w:t>
      </w:r>
      <w:r>
        <w:rPr>
          <w:rFonts w:ascii="Calibri" w:hAnsi="Calibri"/>
        </w:rPr>
        <w:t xml:space="preserve">CHF 4.375</w:t>
      </w:r>
    </w:p>
    <w:p w14:paraId="0000001A" w14:textId="7F89A4DD" w:rsidR="00546167" w:rsidRDefault="00075E3D">
      <w:pPr>
        <w:spacing w:before="240" w:after="240"/>
      </w:pPr>
      <w:r>
        <w:rPr>
          <w:rFonts w:ascii="Calibri" w:hAnsi="Calibri"/>
        </w:rPr>
        <w:t xml:space="preserve">Gummiband:</w:t>
      </w:r>
      <w:r>
        <w:rPr>
          <w:rFonts w:ascii="Calibri" w:hAnsi="Calibri"/>
        </w:rPr>
        <w:t xml:space="preserve"> </w:t>
      </w:r>
      <w:r>
        <w:rPr>
          <w:rFonts w:ascii="Calibri" w:hAnsi="Calibri"/>
        </w:rPr>
        <w:t xml:space="preserve">CHF 4.300</w:t>
      </w:r>
    </w:p>
    <w:sectPr w:rsidR="005461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381904-3639-4053-9DF4-AD969511AB47}"/>
    <w:embedBold r:id="rId2" w:fontKey="{CC5181EC-B95B-4F0B-96C9-AD1B4317D602}"/>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3" w:fontKey="{590851E9-2322-4E38-953D-F17813959108}"/>
  </w:font>
  <w:font w:name="Cambria">
    <w:panose1 w:val="02040503050406030204"/>
    <w:charset w:val="00"/>
    <w:family w:val="roman"/>
    <w:pitch w:val="variable"/>
    <w:sig w:usb0="E00006FF" w:usb1="420024FF" w:usb2="02000000" w:usb3="00000000" w:csb0="0000019F" w:csb1="00000000"/>
    <w:embedRegular r:id="rId4" w:fontKey="{4FCFE19A-2CEF-43C1-B56B-B48708D51745}"/>
  </w:font>
  <w:font w:name="Cordia New">
    <w:panose1 w:val="020B0304020202020204"/>
    <w:charset w:val="00"/>
    <w:family w:val="swiss"/>
    <w:pitch w:val="variable"/>
    <w:sig w:usb0="81000003" w:usb1="00000000" w:usb2="00000000" w:usb3="00000000" w:csb0="00010001" w:csb1="00000000"/>
    <w:embedRegular r:id="rId5" w:fontKey="{3A065977-9E17-43E5-8AB2-B47070F8CB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dirty"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167"/>
    <w:rsid w:val="00015692"/>
    <w:rsid w:val="00075E3D"/>
    <w:rsid w:val="00084E3E"/>
    <w:rsid w:val="001F5CB8"/>
    <w:rsid w:val="00546167"/>
    <w:rsid w:val="00890838"/>
    <w:rsid w:val="009B4C06"/>
    <w:rsid w:val="00AB329D"/>
    <w:rsid w:val="00D05874"/>
    <w:rsid w:val="00D0639C"/>
    <w:rsid w:val="00E565A3"/>
    <w:rsid w:val="00F761F1"/>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960A42"/>
  <w15:docId w15:val="{0BA01DAE-0EC5-4C5C-8429-9C7F4C95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d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01569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811</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Ranvijay Jhala</dc:creator>
  <cp:lastModifiedBy>Miguel - PTSGI</cp:lastModifiedBy>
  <cp:revision>2</cp:revision>
  <dcterms:created xsi:type="dcterms:W3CDTF">2025-08-18T10:12:00Z</dcterms:created>
  <dcterms:modified xsi:type="dcterms:W3CDTF">2025-08-18T10:12:00Z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7341df53-4fd1-4d03-b777-583a99ad2b69</vt:lpwstr>
  </property>
</Properties>
</file>