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7D21" w14:textId="77777777" w:rsidR="00075E3D" w:rsidRDefault="009B4C06" w:rsidP="009B4C06">
      <w:pPr>
        <w:jc w:val="right"/>
        <w:rPr>
          <w:bCs/>
          <w:rFonts w:asciiTheme="majorHAnsi" w:hAnsiTheme="majorHAnsi" w:cstheme="majorHAnsi"/>
        </w:rPr>
      </w:pPr>
      <w:bookmarkStart w:id="0" w:name="_t4fqutnei9ge"/>
      <w:bookmarkEnd w:id="0"/>
      <w:r>
        <w:rPr>
          <w:rFonts w:asciiTheme="majorHAnsi" w:hAnsiTheme="majorHAnsi"/>
        </w:rPr>
        <w:t xml:space="preserve">Communiqué de presse</w:t>
      </w:r>
    </w:p>
    <w:p w14:paraId="1F4437F4" w14:textId="2F56A2F6" w:rsidR="009B4C06" w:rsidRDefault="009B4C06" w:rsidP="009B4C06">
      <w:pPr>
        <w:jc w:val="right"/>
        <w:rPr>
          <w:bCs/>
          <w:rFonts w:asciiTheme="majorHAnsi" w:hAnsiTheme="majorHAnsi" w:cstheme="majorHAnsi"/>
        </w:rPr>
      </w:pPr>
      <w:r>
        <w:rPr>
          <w:rFonts w:asciiTheme="majorHAnsi" w:hAnsiTheme="majorHAnsi"/>
        </w:rPr>
        <w:t xml:space="preserve">Grenchen, le 15 août 2025</w:t>
      </w:r>
    </w:p>
    <w:p w14:paraId="7D7DB56A" w14:textId="6E6A8C46" w:rsidR="009B4C06" w:rsidRPr="009B4C06" w:rsidRDefault="009B4C06" w:rsidP="009B4C06">
      <w:pPr>
        <w:jc w:val="right"/>
        <w:rPr>
          <w:bCs/>
          <w:rFonts w:asciiTheme="majorHAnsi" w:hAnsiTheme="majorHAnsi" w:cstheme="majorHAnsi"/>
        </w:rPr>
      </w:pPr>
      <w:r>
        <w:rPr>
          <w:rFonts w:asciiTheme="majorHAnsi" w:hAnsiTheme="majorHAnsi"/>
        </w:rPr>
        <w:t xml:space="preserve">Pour publication immédiate</w:t>
      </w:r>
    </w:p>
    <w:p w14:paraId="5C5D2D89" w14:textId="77777777" w:rsidR="009B4C06" w:rsidRPr="009B4C06" w:rsidRDefault="009B4C06" w:rsidP="009B4C06"/>
    <w:p w14:paraId="06AE0F74" w14:textId="77777777" w:rsidR="009B4C06" w:rsidRPr="009B4C06" w:rsidRDefault="009B4C06" w:rsidP="009B4C06"/>
    <w:p w14:paraId="00000001" w14:textId="78BFEA76" w:rsidR="00546167" w:rsidRDefault="00075E3D">
      <w:pPr>
        <w:pStyle w:val="Heading3"/>
        <w:spacing w:before="0" w:after="40"/>
        <w:jc w:val="center"/>
      </w:pPr>
      <w:r>
        <w:rPr>
          <w:b/>
          <w:sz w:val="24"/>
          <w:rFonts w:ascii="Helvetica Neue" w:hAnsi="Helvetica Neue"/>
        </w:rPr>
        <w:t xml:space="preserve">Favre Leuba développe sa collection Chief Chronograph avec deux nouvelles couleurs de cadran marquantes.</w:t>
      </w:r>
      <w:r>
        <w:rPr>
          <w:b/>
          <w:sz w:val="24"/>
          <w:rFonts w:ascii="Helvetica Neue" w:hAnsi="Helvetica Neue"/>
        </w:rPr>
        <w:t xml:space="preserve"> </w:t>
      </w:r>
      <w:r>
        <w:rPr>
          <w:b/>
          <w:sz w:val="24"/>
          <w:rFonts w:ascii="Helvetica Neue" w:hAnsi="Helvetica Neue"/>
        </w:rPr>
        <w:t xml:space="preserve">British Racing Green et Dune</w:t>
      </w:r>
      <w:r>
        <w:rPr>
          <w:b/>
          <w:sz w:val="24"/>
          <w:rFonts w:ascii="Helvetica Neue" w:hAnsi="Helvetica Neue"/>
        </w:rPr>
        <w:t xml:space="preserve"> </w:t>
      </w:r>
    </w:p>
    <w:p w14:paraId="00000002" w14:textId="14FCAB84" w:rsidR="00546167" w:rsidRDefault="00075E3D">
      <w:pPr>
        <w:spacing w:before="240" w:after="240"/>
      </w:pPr>
      <w:r>
        <w:t xml:space="preserve">Après le lancement du Chief Chronograph en 2024, une collection inspirée des montres chronographes Favre Leuba des années 1970 avec des boîtiers en forme de coussin, la collection présente désormais deux couleurs de cadran raffinées : British Racing Green et Dune.</w:t>
      </w:r>
      <w:r>
        <w:t xml:space="preserve"> </w:t>
      </w:r>
      <w:r>
        <w:t xml:space="preserve">Ces nouvelles variantes se basent sur le design distinctif du modèle offrant un caractère frais tout en restant fidèles aux racines de la collection.</w:t>
      </w:r>
    </w:p>
    <w:p w14:paraId="00000003" w14:textId="77777777" w:rsidR="00546167" w:rsidRDefault="00075E3D">
      <w:pPr>
        <w:spacing w:before="240" w:after="240"/>
        <w:rPr>
          <w:sz w:val="26"/>
          <w:szCs w:val="26"/>
        </w:rPr>
      </w:pPr>
      <w:r>
        <w:rPr>
          <w:sz w:val="26"/>
        </w:rPr>
        <w:t xml:space="preserve">Un cadran né après plus de 100 étapes</w:t>
      </w:r>
    </w:p>
    <w:p w14:paraId="00000004" w14:textId="77777777" w:rsidR="00546167" w:rsidRDefault="00075E3D">
      <w:pPr>
        <w:spacing w:before="240" w:after="240"/>
      </w:pPr>
      <w:r>
        <w:t xml:space="preserve">Lorsque le Chief Chronograph a été relancé en 2024, il s’est rapidement distingué par son cadran.</w:t>
      </w:r>
      <w:r>
        <w:t xml:space="preserve"> </w:t>
      </w:r>
      <w:r>
        <w:t xml:space="preserve">D’une complexité et d’une profondeur remarquables, chaque cadran est soumis à un processus qui implique plus d’une centaine d’étapes distinctes.</w:t>
      </w:r>
      <w:r>
        <w:t xml:space="preserve"> </w:t>
      </w:r>
      <w:r>
        <w:t xml:space="preserve">Le résultat est une toile multidimensionnelle où de multiples finitions se combinent : un cadran principal avec un effet de soleil, des sous-cadrans à finition brossée circulaire, et un motif côtelé en relief qui ajoute un dynamisme structurel et visuel.</w:t>
      </w:r>
      <w:r>
        <w:t xml:space="preserve"> </w:t>
      </w:r>
      <w:r>
        <w:t xml:space="preserve">La réalisation de ces couches requiert une précision absolue, pas uniquement pour la texture, mais aussi dans l’application uniforme de la couleur des surfaces ondulantes du cadran.</w:t>
      </w:r>
    </w:p>
    <w:p w14:paraId="00000005" w14:textId="48217A5E" w:rsidR="00546167" w:rsidRDefault="00075E3D">
      <w:pPr>
        <w:spacing w:before="240" w:after="240"/>
      </w:pPr>
      <w:r>
        <w:t xml:space="preserve">Cette complexité restreint le champ de choix des couleurs.</w:t>
      </w:r>
      <w:r>
        <w:t xml:space="preserve"> </w:t>
      </w:r>
      <w:r>
        <w:t xml:space="preserve">Seules quelques-unes peuvent résister au processus et émergent encore avec clarté, brillance et équilibre.</w:t>
      </w:r>
      <w:r>
        <w:t xml:space="preserve"> </w:t>
      </w:r>
      <w:r>
        <w:t xml:space="preserve">Après le succès des variantes originales bleue, noire et bleue-glace, le British Racing Green (vert) rejoint désormais la collection; teintes testées soigneusement et perfectionnées pour répondre aux normes intransigeantes de Favre Leuba.</w:t>
      </w:r>
    </w:p>
    <w:p w14:paraId="00000006" w14:textId="77777777" w:rsidR="00546167" w:rsidRDefault="00075E3D">
      <w:pPr>
        <w:pStyle w:val="Heading3"/>
        <w:keepNext w:val="0"/>
        <w:keepLines w:val="0"/>
        <w:spacing w:before="280"/>
        <w:rPr>
          <w:color w:val="000000"/>
          <w:sz w:val="26"/>
          <w:szCs w:val="26"/>
        </w:rPr>
      </w:pPr>
      <w:bookmarkStart w:id="1" w:name="_n6l8sjse3tx3"/>
      <w:bookmarkEnd w:id="1"/>
      <w:r>
        <w:rPr>
          <w:color w:val="000000"/>
          <w:sz w:val="26"/>
        </w:rPr>
        <w:t xml:space="preserve">Le Chief Chronograph British Racing Green</w:t>
      </w:r>
    </w:p>
    <w:p w14:paraId="303410AD" w14:textId="77777777" w:rsidR="00AB329D" w:rsidRDefault="00AB329D" w:rsidP="00AB329D"/>
    <w:p w14:paraId="45F60342" w14:textId="2626F431" w:rsidR="00AB329D" w:rsidRPr="00AB329D" w:rsidRDefault="00AB329D" w:rsidP="00AB329D">
      <w:pPr>
        <w:autoSpaceDE w:val="0"/>
        <w:autoSpaceDN w:val="0"/>
        <w:adjustRightInd w:val="0"/>
        <w:spacing w:line="240" w:lineRule="auto"/>
      </w:pPr>
      <w:r>
        <w:t xml:space="preserve">Le Chief Chronograph British Racing Green présente une vision audacieuse et pleine de caractère d’une couleur légendaire.</w:t>
      </w:r>
      <w:r>
        <w:t xml:space="preserve"> </w:t>
      </w:r>
      <w:r>
        <w:t xml:space="preserve">Né en 1903 avec les pionniers de la course britannique, il est devenu l’ombre des légendes : des moteurs rugissants, du chrome scintillant et des champions qui ne couraient pas pour le confort, mais pour la gloire.</w:t>
      </w:r>
      <w:r>
        <w:t xml:space="preserve"> </w:t>
      </w:r>
      <w:r>
        <w:t xml:space="preserve">Favre Leuba apporte désormais cette teinte légendaire au poignet de l’aventurier, capturant son héritage en la réinventant pour l’exploration moderne.</w:t>
      </w:r>
    </w:p>
    <w:p w14:paraId="53F50BFA" w14:textId="3F9E865F" w:rsidR="00D0639C" w:rsidRPr="00AB329D" w:rsidRDefault="00D0639C" w:rsidP="00D0639C">
      <w:pPr>
        <w:spacing w:before="240" w:after="240"/>
      </w:pPr>
      <w:r>
        <w:t xml:space="preserve">La riche teinte verte change à chaque mouvement - forêt-brillante en plein soleil, et plus sombre et plus humide sous un ciel couvert.</w:t>
      </w:r>
      <w:r>
        <w:t xml:space="preserve"> </w:t>
      </w:r>
      <w:r>
        <w:t xml:space="preserve">La finition rayon de soleil développe sa vibrance, et les tons contrastés encadrent les bords et les sous-cadrans, ajoutant équilibre et structure.</w:t>
      </w:r>
      <w:r>
        <w:t xml:space="preserve"> </w:t>
      </w:r>
      <w:r>
        <w:t xml:space="preserve">Mécanique et affirmée, cette nouvelle version audacieuse adapte le vert des légendes de la course au poignet d’un aventurier.</w:t>
      </w:r>
    </w:p>
    <w:p w14:paraId="00000008" w14:textId="77777777" w:rsidR="00546167" w:rsidRDefault="00075E3D">
      <w:pPr>
        <w:pStyle w:val="Heading3"/>
        <w:keepNext w:val="0"/>
        <w:keepLines w:val="0"/>
        <w:spacing w:before="280"/>
      </w:pPr>
      <w:bookmarkStart w:id="2" w:name="_e9ji0xwvidnv"/>
      <w:bookmarkEnd w:id="2"/>
      <w:r>
        <w:rPr>
          <w:color w:val="000000"/>
          <w:sz w:val="26"/>
        </w:rPr>
        <w:t xml:space="preserve">Le Chief Chronograph Dune</w:t>
      </w:r>
    </w:p>
    <w:p w14:paraId="00000009" w14:textId="706BD7E0" w:rsidR="00546167" w:rsidRDefault="00D0639C">
      <w:r>
        <w:br/>
      </w:r>
      <w:r>
        <w:t xml:space="preserve">Le Chief Chronograph Dune présente une élégance plus discrète.</w:t>
      </w:r>
      <w:r>
        <w:t xml:space="preserve"> </w:t>
      </w:r>
      <w:r>
        <w:t xml:space="preserve">Sa teinte chaude et sableuse se situe entre le beige et l’or doux, superposée en couches sur un cadran brossé à finition soleillée.</w:t>
      </w:r>
      <w:r>
        <w:t xml:space="preserve"> </w:t>
      </w:r>
      <w:r>
        <w:t xml:space="preserve">Des tons raffinés et contrastés, associés aux aiguilles et index dans une teinte riche d’or rose, créent un sens d’équilibre et une harmonie sur la disposition architecturale du cadran — subtils, mais indéniablement distinctifs. </w:t>
      </w:r>
    </w:p>
    <w:p w14:paraId="0000000A" w14:textId="77777777" w:rsidR="00546167" w:rsidRDefault="00075E3D">
      <w:pPr>
        <w:pStyle w:val="Heading3"/>
        <w:keepNext w:val="0"/>
        <w:keepLines w:val="0"/>
        <w:spacing w:before="280"/>
      </w:pPr>
      <w:bookmarkStart w:id="3" w:name="_c0xoa7sto6c6"/>
      <w:bookmarkEnd w:id="3"/>
      <w:r>
        <w:rPr>
          <w:color w:val="000000"/>
          <w:sz w:val="26"/>
        </w:rPr>
        <w:t xml:space="preserve">Proportions épurées, confort de port rehaussé</w:t>
      </w:r>
    </w:p>
    <w:p w14:paraId="0000000B" w14:textId="609789A9" w:rsidR="00546167" w:rsidRDefault="00075E3D">
      <w:r>
        <w:t xml:space="preserve">Les deux variantes présentent le boîtier emblématique de 41 mm du modèle Chief, en forme de coussin, en acier inoxydable, avec des finitions brossées et polies pour un rendu équilibré.</w:t>
      </w:r>
      <w:r>
        <w:t xml:space="preserve"> </w:t>
      </w:r>
      <w:r>
        <w:t xml:space="preserve">Avec une épaisseur de 14 mm, il offre un excellent confort au poignet, et le boîtier est étanche jusqu’à 10 ATM.</w:t>
      </w:r>
    </w:p>
    <w:p w14:paraId="0000000C" w14:textId="77777777" w:rsidR="00546167" w:rsidRDefault="00546167"/>
    <w:p w14:paraId="0000000D" w14:textId="77777777" w:rsidR="00546167" w:rsidRDefault="00075E3D">
      <w:r>
        <w:t xml:space="preserve">Chaque modèle est proposé avec un bracelet intégré à deux maillons en acier, doté de finitions brossées et polies, et un bracelet supplémentaire FKM en caoutchouc — alliant confort, polyvalence et esthétique harmonieuse.</w:t>
      </w:r>
    </w:p>
    <w:p w14:paraId="0000000E" w14:textId="77777777" w:rsidR="00546167" w:rsidRDefault="00075E3D">
      <w:pPr>
        <w:pStyle w:val="Heading3"/>
        <w:keepNext w:val="0"/>
        <w:keepLines w:val="0"/>
        <w:spacing w:before="280"/>
        <w:rPr>
          <w:color w:val="000000"/>
          <w:sz w:val="26"/>
          <w:szCs w:val="26"/>
        </w:rPr>
      </w:pPr>
      <w:bookmarkStart w:id="4" w:name="_ughyawyucpgw"/>
      <w:bookmarkEnd w:id="4"/>
      <w:r>
        <w:rPr>
          <w:color w:val="000000"/>
          <w:sz w:val="26"/>
        </w:rPr>
        <w:t xml:space="preserve">Guidé par la précision</w:t>
      </w:r>
      <w:r>
        <w:rPr>
          <w:color w:val="000000"/>
          <w:sz w:val="26"/>
        </w:rPr>
        <w:t xml:space="preserve"> </w:t>
      </w:r>
    </w:p>
    <w:p w14:paraId="0000000F" w14:textId="0F6A9408" w:rsidR="00546167" w:rsidRDefault="00075E3D">
      <w:pPr>
        <w:spacing w:before="240" w:after="240"/>
      </w:pPr>
      <w:r>
        <w:t xml:space="preserve">À l’intérieur du boîtier, visible à travers le fond transparent en verre saphir, se trouve le mouvement chronographe automatique FLC02, développé en étroite collaboration avec La Joux-Perret.</w:t>
      </w:r>
      <w:r>
        <w:t xml:space="preserve"> </w:t>
      </w:r>
      <w:r>
        <w:t xml:space="preserve">Ce calibre de haute performance dispose d’une roue à colonnes bleuie à chaud, garantissant un engagement précis du chronographe.</w:t>
      </w:r>
      <w:r>
        <w:t xml:space="preserve"> </w:t>
      </w:r>
      <w:r>
        <w:t xml:space="preserve">Une roue à colonnes offre une plus grande précision et exactitude qu’un mécanisme à came, et dans les montres Chief Chronograph, ce composant est soumis à un processus de bleuissage complexe qui améliore également sa dureté.</w:t>
      </w:r>
      <w:r>
        <w:t xml:space="preserve"> </w:t>
      </w:r>
      <w:r>
        <w:t xml:space="preserve">Il s’agit d’une procédure qui doit être réalisée avec une grande minutie et où la moindre déviation impose de recommencer depuis le début.</w:t>
      </w:r>
    </w:p>
    <w:p w14:paraId="00000010" w14:textId="294173B1" w:rsidR="00546167" w:rsidRDefault="00015692">
      <w:pPr>
        <w:spacing w:before="240" w:after="240"/>
      </w:pPr>
      <w:r>
        <w:t xml:space="preserve">Le cadran présente une disposition bi-compax horizontale des sous-cadrans, avec un chronographe de 30 minutes à trois heures et une petite seconde à neuf heures.</w:t>
      </w:r>
      <w:r>
        <w:t xml:space="preserve"> </w:t>
      </w:r>
      <w:r>
        <w:t xml:space="preserve">Cette disposition permet non seulement la lecture rapide des minutes et secondes écoulées, mais elle contribue aussi à un affichage plus épuré, équilibré et à haute lisibilité. </w:t>
      </w:r>
    </w:p>
    <w:p w14:paraId="00000011" w14:textId="240C014C" w:rsidR="00546167" w:rsidRDefault="00075E3D">
      <w:pPr>
        <w:spacing w:before="240" w:after="240"/>
        <w:rPr>
          <w:b/>
          <w:rFonts w:ascii="Calibri" w:eastAsia="Calibri" w:hAnsi="Calibri" w:cs="Calibri"/>
        </w:rPr>
      </w:pPr>
      <w:r>
        <w:t xml:space="preserve">Le mouvement présente de magnifiques Côtes de Genève, du perlage, et des vis bleuies à chaud au niveau du le calibre principal.</w:t>
      </w:r>
      <w:r>
        <w:t xml:space="preserve"> </w:t>
      </w:r>
      <w:r>
        <w:t xml:space="preserve">Le rotor ajouré est décoré d’un </w:t>
      </w:r>
      <w:r>
        <w:rPr>
          <w:i/>
        </w:rPr>
        <w:t xml:space="preserve">colimaçonnage</w:t>
      </w:r>
      <w:r>
        <w:t xml:space="preserve"> brossé en spirale et d’un </w:t>
      </w:r>
      <w:r>
        <w:rPr>
          <w:i/>
        </w:rPr>
        <w:t xml:space="preserve">soleillage</w:t>
      </w:r>
      <w:r>
        <w:t xml:space="preserve"> rayonnant.</w:t>
      </w:r>
    </w:p>
    <w:p w14:paraId="00000012" w14:textId="77777777" w:rsidR="00546167" w:rsidRDefault="00075E3D">
      <w:pPr>
        <w:spacing w:before="240" w:after="240"/>
        <w:rPr>
          <w:b/>
          <w:rFonts w:ascii="Calibri" w:eastAsia="Calibri" w:hAnsi="Calibri" w:cs="Calibri"/>
        </w:rPr>
      </w:pPr>
      <w:r>
        <w:rPr>
          <w:b/>
          <w:rFonts w:ascii="Calibri" w:hAnsi="Calibri"/>
        </w:rPr>
        <w:t xml:space="preserve">Chief Chronograph – Spécifications techniques</w:t>
      </w:r>
    </w:p>
    <w:p w14:paraId="00000013" w14:textId="48950A72" w:rsidR="00546167" w:rsidRDefault="00075E3D">
      <w:pPr>
        <w:spacing w:before="240" w:after="240"/>
        <w:rPr>
          <w:rFonts w:ascii="Calibri" w:eastAsia="Calibri" w:hAnsi="Calibri" w:cs="Calibri"/>
        </w:rPr>
      </w:pPr>
      <w:r>
        <w:rPr>
          <w:b/>
          <w:rFonts w:ascii="Calibri" w:hAnsi="Calibri"/>
        </w:rPr>
        <w:t xml:space="preserve">Boîtier :</w:t>
      </w:r>
      <w:r>
        <w:rPr>
          <w:b/>
          <w:rFonts w:ascii="Calibri" w:hAnsi="Calibri"/>
        </w:rPr>
        <w:t xml:space="preserve"> </w:t>
      </w:r>
      <w:r>
        <w:rPr>
          <w:rFonts w:ascii="Calibri" w:hAnsi="Calibri"/>
        </w:rPr>
        <w:t xml:space="preserve">Acier inoxydable avec finitions brossées et polies, étanche jusqu’à 10 ATM, verre saphir incurvé avec traitement antireflet, fond de boîtier en verre saphir, et couronne ornée d’un monogramme en relief.</w:t>
      </w:r>
    </w:p>
    <w:p w14:paraId="3DD0E105" w14:textId="77777777" w:rsidR="00075E3D" w:rsidRDefault="00075E3D">
      <w:pPr>
        <w:spacing w:before="240" w:after="240"/>
        <w:rPr>
          <w:rFonts w:ascii="Calibri" w:eastAsia="Calibri" w:hAnsi="Calibri" w:cs="Calibri"/>
        </w:rPr>
      </w:pPr>
      <w:r>
        <w:rPr>
          <w:b/>
          <w:rFonts w:ascii="Calibri" w:hAnsi="Calibri"/>
        </w:rPr>
        <w:t xml:space="preserve">Diamètre :</w:t>
      </w:r>
      <w:r>
        <w:rPr>
          <w:rFonts w:ascii="Calibri" w:hAnsi="Calibri"/>
        </w:rPr>
        <w:t xml:space="preserve"> </w:t>
      </w:r>
      <w:r>
        <w:rPr>
          <w:rFonts w:ascii="Calibri" w:hAnsi="Calibri"/>
        </w:rPr>
        <w:t xml:space="preserve">41 mm</w:t>
      </w:r>
      <w:r>
        <w:rPr>
          <w:rFonts w:ascii="Calibri" w:hAnsi="Calibri"/>
        </w:rPr>
        <w:t xml:space="preserve"> </w:t>
      </w:r>
    </w:p>
    <w:p w14:paraId="00000014" w14:textId="14CDFF89" w:rsidR="00546167" w:rsidRDefault="00075E3D">
      <w:pPr>
        <w:spacing w:before="240" w:after="240"/>
        <w:rPr>
          <w:rFonts w:ascii="Calibri" w:eastAsia="Calibri" w:hAnsi="Calibri" w:cs="Calibri"/>
        </w:rPr>
      </w:pPr>
      <w:r>
        <w:rPr>
          <w:b/>
          <w:rFonts w:ascii="Calibri" w:hAnsi="Calibri"/>
        </w:rPr>
        <w:t xml:space="preserve">Épaisseur :</w:t>
      </w:r>
      <w:r>
        <w:rPr>
          <w:b/>
          <w:rFonts w:ascii="Calibri" w:hAnsi="Calibri"/>
        </w:rPr>
        <w:t xml:space="preserve"> </w:t>
      </w:r>
      <w:r>
        <w:rPr>
          <w:rFonts w:ascii="Calibri" w:hAnsi="Calibri"/>
        </w:rPr>
        <w:t xml:space="preserve">14 mm</w:t>
      </w:r>
      <w:r>
        <w:rPr>
          <w:rFonts w:ascii="Calibri" w:hAnsi="Calibri"/>
        </w:rPr>
        <w:t xml:space="preserve"> </w:t>
      </w:r>
    </w:p>
    <w:p w14:paraId="00000015" w14:textId="7CBEEE41" w:rsidR="00546167" w:rsidRDefault="00075E3D">
      <w:pPr>
        <w:spacing w:before="240" w:after="240"/>
        <w:rPr>
          <w:rFonts w:ascii="Calibri" w:eastAsia="Calibri" w:hAnsi="Calibri" w:cs="Calibri"/>
        </w:rPr>
      </w:pPr>
      <w:r>
        <w:rPr>
          <w:b/>
          <w:rFonts w:ascii="Calibri" w:hAnsi="Calibri"/>
        </w:rPr>
        <w:t xml:space="preserve">Mouvement :</w:t>
      </w:r>
      <w:r>
        <w:rPr>
          <w:rFonts w:ascii="Calibri" w:hAnsi="Calibri"/>
        </w:rPr>
        <w:t xml:space="preserve"> </w:t>
      </w:r>
      <w:r>
        <w:rPr>
          <w:rFonts w:ascii="Calibri" w:hAnsi="Calibri"/>
        </w:rPr>
        <w:t xml:space="preserve">FLC02, calibre chronographe à roue à colonnes à remontage automatique, réserve de marche de 68 heures, fréquence de 28800 alternances par heure (4Hz), 24 rubis, Côtes de Genève, vis bleuies et perlage. </w:t>
      </w:r>
    </w:p>
    <w:p w14:paraId="00000016" w14:textId="60440BDA" w:rsidR="00546167" w:rsidRDefault="00075E3D">
      <w:pPr>
        <w:spacing w:before="240" w:after="240"/>
        <w:rPr>
          <w:rFonts w:ascii="Calibri" w:eastAsia="Calibri" w:hAnsi="Calibri" w:cs="Calibri"/>
        </w:rPr>
      </w:pPr>
      <w:r>
        <w:rPr>
          <w:b/>
          <w:rFonts w:ascii="Calibri" w:hAnsi="Calibri"/>
        </w:rPr>
        <w:t xml:space="preserve">Fonctions :</w:t>
      </w:r>
      <w:r>
        <w:rPr>
          <w:b/>
          <w:rFonts w:ascii="Calibri" w:hAnsi="Calibri"/>
        </w:rPr>
        <w:t xml:space="preserve"> </w:t>
      </w:r>
      <w:r>
        <w:rPr>
          <w:rFonts w:ascii="Calibri" w:hAnsi="Calibri"/>
        </w:rPr>
        <w:t xml:space="preserve">Petite seconde, chronographe, tachymètre</w:t>
      </w:r>
      <w:r>
        <w:rPr>
          <w:rFonts w:ascii="Calibri" w:hAnsi="Calibri"/>
        </w:rPr>
        <w:t xml:space="preserve"> </w:t>
      </w:r>
    </w:p>
    <w:p w14:paraId="00000017" w14:textId="414EE416" w:rsidR="00546167" w:rsidRDefault="00075E3D">
      <w:pPr>
        <w:spacing w:before="240" w:after="240"/>
        <w:rPr>
          <w:rFonts w:ascii="Calibri" w:eastAsia="Calibri" w:hAnsi="Calibri" w:cs="Calibri"/>
        </w:rPr>
      </w:pPr>
      <w:r>
        <w:rPr>
          <w:b/>
          <w:rFonts w:ascii="Calibri" w:hAnsi="Calibri"/>
        </w:rPr>
        <w:t xml:space="preserve">Cadran :</w:t>
      </w:r>
      <w:r>
        <w:rPr>
          <w:rFonts w:ascii="Calibri" w:hAnsi="Calibri"/>
        </w:rPr>
        <w:t xml:space="preserve"> </w:t>
      </w:r>
      <w:r>
        <w:rPr>
          <w:rFonts w:ascii="Calibri" w:hAnsi="Calibri"/>
        </w:rPr>
        <w:t xml:space="preserve">Finition de base soleillée, brossage circulaire sur les sous-cadrans, logo en relief en 3D, intégré au cadran, anneau intérieur tachymètre avec inscriptions imprimées, aiguilles multifacettes et index appliqués avec brossage et sablage, Super-LumiNova X1 à éclat bleu sur les aiguilles et les index.</w:t>
      </w:r>
      <w:r>
        <w:rPr>
          <w:rFonts w:ascii="Calibri" w:hAnsi="Calibri"/>
        </w:rPr>
        <w:t xml:space="preserve"> </w:t>
      </w:r>
    </w:p>
    <w:p w14:paraId="00000018" w14:textId="727323C3" w:rsidR="00546167" w:rsidRDefault="00075E3D">
      <w:pPr>
        <w:spacing w:before="240" w:after="240"/>
        <w:rPr>
          <w:sz w:val="20"/>
          <w:szCs w:val="20"/>
          <w:rFonts w:ascii="Helvetica Neue" w:eastAsia="Helvetica Neue" w:hAnsi="Helvetica Neue" w:cs="Helvetica Neue"/>
        </w:rPr>
      </w:pPr>
      <w:r>
        <w:rPr>
          <w:sz w:val="20"/>
          <w:b/>
          <w:rFonts w:ascii="Helvetica Neue" w:hAnsi="Helvetica Neue"/>
        </w:rPr>
        <w:t xml:space="preserve">Bracelet :</w:t>
      </w:r>
      <w:r>
        <w:rPr>
          <w:sz w:val="20"/>
          <w:rFonts w:ascii="Helvetica Neue" w:hAnsi="Helvetica Neue"/>
        </w:rPr>
        <w:t xml:space="preserve"> </w:t>
      </w:r>
      <w:r>
        <w:rPr>
          <w:sz w:val="20"/>
          <w:rFonts w:ascii="Helvetica Neue" w:hAnsi="Helvetica Neue"/>
        </w:rPr>
        <w:t xml:space="preserve">Bracelet intégré en acier à deux maillons, brossage vertical sur les maillons extérieurs et maillons centraux polis.</w:t>
      </w:r>
      <w:r>
        <w:rPr>
          <w:sz w:val="20"/>
          <w:rFonts w:ascii="Helvetica Neue" w:hAnsi="Helvetica Neue"/>
        </w:rPr>
        <w:t xml:space="preserve"> </w:t>
      </w:r>
      <w:r>
        <w:rPr>
          <w:sz w:val="20"/>
          <w:rFonts w:ascii="Helvetica Neue" w:hAnsi="Helvetica Neue"/>
        </w:rPr>
        <w:t xml:space="preserve">Équipé d’un mécanisme de changement rapide, sécurisé par une boucle déployante papillon.</w:t>
      </w:r>
    </w:p>
    <w:p w14:paraId="00000019" w14:textId="28E9C67E" w:rsidR="00546167" w:rsidRDefault="00075E3D">
      <w:pPr>
        <w:spacing w:before="240" w:after="240"/>
        <w:rPr>
          <w:sz w:val="20"/>
          <w:szCs w:val="20"/>
          <w:rFonts w:ascii="Helvetica Neue" w:eastAsia="Helvetica Neue" w:hAnsi="Helvetica Neue" w:cs="Helvetica Neue"/>
        </w:rPr>
      </w:pPr>
      <w:r>
        <w:rPr>
          <w:sz w:val="20"/>
          <w:b/>
          <w:rFonts w:ascii="Helvetica Neue" w:hAnsi="Helvetica Neue"/>
        </w:rPr>
        <w:t xml:space="preserve">Sangle</w:t>
      </w:r>
      <w:r>
        <w:rPr>
          <w:sz w:val="20"/>
          <w:rFonts w:ascii="Helvetica Neue" w:hAnsi="Helvetica Neue"/>
        </w:rPr>
        <w:t xml:space="preserve">:</w:t>
      </w:r>
      <w:r>
        <w:rPr>
          <w:sz w:val="20"/>
          <w:rFonts w:ascii="Helvetica Neue" w:hAnsi="Helvetica Neue"/>
        </w:rPr>
        <w:t xml:space="preserve"> </w:t>
      </w:r>
      <w:r>
        <w:rPr>
          <w:sz w:val="20"/>
          <w:rFonts w:ascii="Helvetica Neue" w:hAnsi="Helvetica Neue"/>
        </w:rPr>
        <w:t xml:space="preserve">Bracelets en caoutchouc FKM durables, disponibles en couleurs dune et verte pour assortir le cadran, avec boucle ardillon en acier inoxydable gravée du logo Favre Leuba.</w:t>
      </w:r>
    </w:p>
    <w:p w14:paraId="54D76255" w14:textId="77777777" w:rsidR="00075E3D" w:rsidRDefault="00075E3D">
      <w:pPr>
        <w:spacing w:before="240" w:after="240"/>
        <w:rPr>
          <w:rFonts w:ascii="Calibri" w:eastAsia="Calibri" w:hAnsi="Calibri" w:cs="Calibri"/>
        </w:rPr>
      </w:pPr>
      <w:r>
        <w:rPr>
          <w:b/>
          <w:rFonts w:ascii="Calibri" w:hAnsi="Calibri"/>
        </w:rPr>
        <w:t xml:space="preserve">Prix :</w:t>
      </w:r>
      <w:r>
        <w:rPr>
          <w:rFonts w:ascii="Calibri" w:hAnsi="Calibri"/>
        </w:rPr>
        <w:t xml:space="preserve"> </w:t>
      </w:r>
    </w:p>
    <w:p w14:paraId="5E86B21C" w14:textId="77777777" w:rsidR="00075E3D" w:rsidRDefault="00075E3D">
      <w:pPr>
        <w:spacing w:before="240" w:after="240"/>
        <w:rPr>
          <w:rFonts w:ascii="Calibri" w:eastAsia="Calibri" w:hAnsi="Calibri" w:cs="Calibri"/>
        </w:rPr>
      </w:pPr>
      <w:r>
        <w:rPr>
          <w:rFonts w:ascii="Calibri" w:hAnsi="Calibri"/>
        </w:rPr>
        <w:t xml:space="preserve">Bracelet en acier :</w:t>
      </w:r>
      <w:r>
        <w:rPr>
          <w:rFonts w:ascii="Calibri" w:hAnsi="Calibri"/>
        </w:rPr>
        <w:t xml:space="preserve"> </w:t>
      </w:r>
      <w:r>
        <w:rPr>
          <w:rFonts w:ascii="Calibri" w:hAnsi="Calibri"/>
        </w:rPr>
        <w:t xml:space="preserve">4375 CHF</w:t>
      </w:r>
    </w:p>
    <w:p w14:paraId="0000001A" w14:textId="7F89A4DD" w:rsidR="00546167" w:rsidRDefault="00075E3D">
      <w:pPr>
        <w:spacing w:before="240" w:after="240"/>
      </w:pPr>
      <w:r>
        <w:rPr>
          <w:rFonts w:ascii="Calibri" w:hAnsi="Calibri"/>
        </w:rPr>
        <w:t xml:space="preserve">Bracelet en caoutchouc :</w:t>
      </w:r>
      <w:r>
        <w:rPr>
          <w:rFonts w:ascii="Calibri" w:hAnsi="Calibri"/>
        </w:rPr>
        <w:t xml:space="preserve"> </w:t>
      </w:r>
      <w:r>
        <w:rPr>
          <w:rFonts w:ascii="Calibri" w:hAnsi="Calibri"/>
        </w:rPr>
        <w:t xml:space="preserve">4300 CHF</w:t>
      </w:r>
    </w:p>
    <w:sectPr w:rsidR="005461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381904-3639-4053-9DF4-AD969511AB47}"/>
    <w:embedBold r:id="rId2" w:fontKey="{CC5181EC-B95B-4F0B-96C9-AD1B4317D602}"/>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3" w:fontKey="{590851E9-2322-4E38-953D-F17813959108}"/>
  </w:font>
  <w:font w:name="Cambria">
    <w:panose1 w:val="02040503050406030204"/>
    <w:charset w:val="00"/>
    <w:family w:val="roman"/>
    <w:pitch w:val="variable"/>
    <w:sig w:usb0="E00006FF" w:usb1="420024FF" w:usb2="02000000" w:usb3="00000000" w:csb0="0000019F" w:csb1="00000000"/>
    <w:embedRegular r:id="rId4" w:fontKey="{4FCFE19A-2CEF-43C1-B56B-B48708D51745}"/>
  </w:font>
  <w:font w:name="Cordia New">
    <w:panose1 w:val="020B0304020202020204"/>
    <w:charset w:val="00"/>
    <w:family w:val="swiss"/>
    <w:pitch w:val="variable"/>
    <w:sig w:usb0="81000003" w:usb1="00000000" w:usb2="00000000" w:usb3="00000000" w:csb0="00010001" w:csb1="00000000"/>
    <w:embedRegular r:id="rId5" w:fontKey="{3A065977-9E17-43E5-8AB2-B47070F8CB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dirty"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167"/>
    <w:rsid w:val="00015692"/>
    <w:rsid w:val="00075E3D"/>
    <w:rsid w:val="00084E3E"/>
    <w:rsid w:val="001F5CB8"/>
    <w:rsid w:val="00546167"/>
    <w:rsid w:val="00890838"/>
    <w:rsid w:val="009B4C06"/>
    <w:rsid w:val="00AB329D"/>
    <w:rsid w:val="00D05874"/>
    <w:rsid w:val="00D0639C"/>
    <w:rsid w:val="00E565A3"/>
    <w:rsid w:val="00F761F1"/>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960A42"/>
  <w15:docId w15:val="{0BA01DAE-0EC5-4C5C-8429-9C7F4C95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01569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811</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Ranvijay Jhala</dc:creator>
  <cp:lastModifiedBy>Miguel - PTSGI</cp:lastModifiedBy>
  <cp:revision>2</cp:revision>
  <dcterms:created xsi:type="dcterms:W3CDTF">2025-08-18T10:12:00Z</dcterms:created>
  <dcterms:modified xsi:type="dcterms:W3CDTF">2025-08-18T10:12:00Z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7341df53-4fd1-4d03-b777-583a99ad2b69</vt:lpwstr>
  </property>
</Properties>
</file>