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818AAA" w14:textId="77777777" w:rsidR="000920A0" w:rsidRPr="0021084D" w:rsidRDefault="00665ACE">
      <w:pPr>
        <w:jc w:val="center"/>
        <w:rPr>
          <w:rFonts w:ascii="Times New Roman" w:eastAsia="Times New Roman" w:hAnsi="Times New Roman" w:cs="Times New Roman"/>
          <w:sz w:val="32"/>
          <w:szCs w:val="32"/>
        </w:rPr>
      </w:pPr>
      <w:r>
        <w:rPr>
          <w:rFonts w:ascii="Times New Roman" w:hAnsi="Times New Roman"/>
          <w:b/>
          <w:noProof/>
          <w:color w:val="FF0000"/>
          <w:sz w:val="32"/>
        </w:rPr>
        <w:drawing>
          <wp:inline distT="114300" distB="114300" distL="114300" distR="114300" wp14:anchorId="198FA905" wp14:editId="3753EF85">
            <wp:extent cx="2990850" cy="11049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2990850" cy="1104900"/>
                    </a:xfrm>
                    <a:prstGeom prst="rect">
                      <a:avLst/>
                    </a:prstGeom>
                    <a:ln/>
                  </pic:spPr>
                </pic:pic>
              </a:graphicData>
            </a:graphic>
          </wp:inline>
        </w:drawing>
      </w:r>
    </w:p>
    <w:p w14:paraId="17B17380" w14:textId="77777777" w:rsidR="000920A0" w:rsidRPr="0021084D" w:rsidRDefault="000920A0">
      <w:pPr>
        <w:rPr>
          <w:rFonts w:ascii="Times New Roman" w:eastAsia="Times New Roman" w:hAnsi="Times New Roman" w:cs="Times New Roman"/>
          <w:color w:val="FF0000"/>
          <w:sz w:val="32"/>
          <w:szCs w:val="32"/>
        </w:rPr>
      </w:pPr>
    </w:p>
    <w:p w14:paraId="55F8AB6D" w14:textId="405F4E5D" w:rsidR="00B969E9" w:rsidRDefault="00B969E9">
      <w:pPr>
        <w:spacing w:before="240" w:after="240"/>
        <w:jc w:val="center"/>
        <w:rPr>
          <w:rFonts w:ascii="Times New Roman" w:hAnsi="Times New Roman"/>
          <w:b/>
          <w:color w:val="000000"/>
          <w:sz w:val="32"/>
        </w:rPr>
      </w:pPr>
      <w:bookmarkStart w:id="0" w:name="_heading=h.j5xbc6swf766"/>
      <w:bookmarkEnd w:id="0"/>
      <w:r w:rsidRPr="00B969E9">
        <w:rPr>
          <w:rFonts w:ascii="Times New Roman" w:hAnsi="Times New Roman"/>
          <w:b/>
          <w:color w:val="000000"/>
          <w:sz w:val="32"/>
        </w:rPr>
        <w:t>Chief Date Mint</w:t>
      </w:r>
      <w:r w:rsidR="002102DF">
        <w:rPr>
          <w:rFonts w:ascii="Times New Roman" w:hAnsi="Times New Roman"/>
          <w:b/>
          <w:color w:val="000000"/>
          <w:sz w:val="32"/>
        </w:rPr>
        <w:t xml:space="preserve"> Green</w:t>
      </w:r>
      <w:r w:rsidRPr="00B969E9">
        <w:rPr>
          <w:rFonts w:ascii="Times New Roman" w:hAnsi="Times New Roman"/>
          <w:b/>
          <w:color w:val="000000"/>
          <w:sz w:val="32"/>
        </w:rPr>
        <w:t xml:space="preserve"> &amp; Ice Blue: Favre Leuba begrüßt den Sommer mit zwei Neuzugängen zur Chief-Date-Kollektion</w:t>
      </w:r>
    </w:p>
    <w:p w14:paraId="7C8E5146" w14:textId="4650206C" w:rsidR="000920A0" w:rsidRPr="0021084D" w:rsidRDefault="003F7C9F">
      <w:pPr>
        <w:spacing w:before="240" w:after="240"/>
        <w:jc w:val="center"/>
        <w:rPr>
          <w:sz w:val="32"/>
          <w:szCs w:val="32"/>
        </w:rPr>
      </w:pPr>
      <w:r>
        <w:rPr>
          <w:noProof/>
          <w:sz w:val="32"/>
          <w:szCs w:val="32"/>
        </w:rPr>
        <w:drawing>
          <wp:inline distT="0" distB="0" distL="0" distR="0" wp14:anchorId="6D7F8766" wp14:editId="7D8A2460">
            <wp:extent cx="2374900" cy="3352800"/>
            <wp:effectExtent l="0" t="0" r="0" b="0"/>
            <wp:docPr id="6161175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117521" name="Picture 616117521"/>
                    <pic:cNvPicPr/>
                  </pic:nvPicPr>
                  <pic:blipFill>
                    <a:blip r:embed="rId6" cstate="print">
                      <a:extLst>
                        <a:ext uri="{28A0092B-C50C-407E-A947-70E740481C1C}">
                          <a14:useLocalDpi xmlns:a14="http://schemas.microsoft.com/office/drawing/2010/main" val="0"/>
                        </a:ext>
                      </a:extLst>
                    </a:blip>
                    <a:stretch>
                      <a:fillRect/>
                    </a:stretch>
                  </pic:blipFill>
                  <pic:spPr>
                    <a:xfrm>
                      <a:off x="0" y="0"/>
                      <a:ext cx="2374900" cy="3352800"/>
                    </a:xfrm>
                    <a:prstGeom prst="rect">
                      <a:avLst/>
                    </a:prstGeom>
                  </pic:spPr>
                </pic:pic>
              </a:graphicData>
            </a:graphic>
          </wp:inline>
        </w:drawing>
      </w:r>
      <w:r>
        <w:rPr>
          <w:noProof/>
          <w:sz w:val="32"/>
          <w:szCs w:val="32"/>
        </w:rPr>
        <w:drawing>
          <wp:inline distT="0" distB="0" distL="0" distR="0" wp14:anchorId="0AF898E4" wp14:editId="4764B540">
            <wp:extent cx="2374900" cy="3352800"/>
            <wp:effectExtent l="0" t="0" r="0" b="0"/>
            <wp:docPr id="12472688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68899" name="Picture 1247268899"/>
                    <pic:cNvPicPr/>
                  </pic:nvPicPr>
                  <pic:blipFill>
                    <a:blip r:embed="rId7" cstate="print">
                      <a:extLst>
                        <a:ext uri="{28A0092B-C50C-407E-A947-70E740481C1C}">
                          <a14:useLocalDpi xmlns:a14="http://schemas.microsoft.com/office/drawing/2010/main" val="0"/>
                        </a:ext>
                      </a:extLst>
                    </a:blip>
                    <a:stretch>
                      <a:fillRect/>
                    </a:stretch>
                  </pic:blipFill>
                  <pic:spPr>
                    <a:xfrm>
                      <a:off x="0" y="0"/>
                      <a:ext cx="2374900" cy="3352800"/>
                    </a:xfrm>
                    <a:prstGeom prst="rect">
                      <a:avLst/>
                    </a:prstGeom>
                  </pic:spPr>
                </pic:pic>
              </a:graphicData>
            </a:graphic>
          </wp:inline>
        </w:drawing>
      </w:r>
    </w:p>
    <w:p w14:paraId="7AD0DE44" w14:textId="24DCB9BD" w:rsidR="000920A0" w:rsidRPr="0021084D" w:rsidRDefault="00665ACE" w:rsidP="00B85F99">
      <w:pPr>
        <w:rPr>
          <w:rFonts w:ascii="Times New Roman" w:eastAsia="Times New Roman" w:hAnsi="Times New Roman" w:cs="Times New Roman"/>
          <w:sz w:val="32"/>
          <w:szCs w:val="32"/>
        </w:rPr>
      </w:pPr>
      <w:r>
        <w:rPr>
          <w:rFonts w:ascii="Times New Roman" w:hAnsi="Times New Roman"/>
          <w:sz w:val="32"/>
        </w:rPr>
        <w:t>Pünktlich zum Sommer sorgt Favre Leuba, die zweitälteste</w:t>
      </w:r>
      <w:r w:rsidR="00B969E9">
        <w:rPr>
          <w:rFonts w:ascii="Times New Roman" w:hAnsi="Times New Roman"/>
          <w:sz w:val="32"/>
        </w:rPr>
        <w:t xml:space="preserve"> </w:t>
      </w:r>
      <w:r w:rsidR="00B969E9" w:rsidRPr="00B969E9">
        <w:rPr>
          <w:rFonts w:ascii="Times New Roman" w:hAnsi="Times New Roman"/>
          <w:sz w:val="32"/>
        </w:rPr>
        <w:t>Schweizer</w:t>
      </w:r>
      <w:r>
        <w:rPr>
          <w:rFonts w:ascii="Times New Roman" w:hAnsi="Times New Roman"/>
          <w:sz w:val="32"/>
        </w:rPr>
        <w:t xml:space="preserve"> Uhrenmarke, </w:t>
      </w:r>
      <w:r w:rsidR="00B969E9" w:rsidRPr="00B969E9">
        <w:rPr>
          <w:rFonts w:ascii="Times New Roman" w:hAnsi="Times New Roman"/>
          <w:sz w:val="32"/>
        </w:rPr>
        <w:t>mit zwei markanten neuen Zifferblattvarianten für die beliebte Chief-Date-Kollektion für frischen Wind</w:t>
      </w:r>
      <w:r>
        <w:rPr>
          <w:rFonts w:ascii="Times New Roman" w:hAnsi="Times New Roman"/>
          <w:sz w:val="32"/>
        </w:rPr>
        <w:t>. Die Chief Date fängt den Geist der Jahreszeit ein und präsentiert sich nun in Ice Blue und Mint Green, wobei das elegante Profil der Kollektion mit einer frischen, kühlen Farbpalette kombiniert wird.</w:t>
      </w:r>
    </w:p>
    <w:p w14:paraId="39EBD003" w14:textId="77777777" w:rsidR="000920A0" w:rsidRPr="0021084D" w:rsidRDefault="000920A0">
      <w:pPr>
        <w:rPr>
          <w:rFonts w:ascii="Times New Roman" w:eastAsia="Times New Roman" w:hAnsi="Times New Roman" w:cs="Times New Roman"/>
          <w:sz w:val="32"/>
          <w:szCs w:val="32"/>
        </w:rPr>
      </w:pPr>
    </w:p>
    <w:p w14:paraId="505B0792" w14:textId="77777777" w:rsidR="00665ACE" w:rsidRDefault="00665ACE" w:rsidP="00B85F99">
      <w:pPr>
        <w:rPr>
          <w:rFonts w:ascii="Times New Roman" w:hAnsi="Times New Roman"/>
          <w:sz w:val="32"/>
        </w:rPr>
      </w:pPr>
      <w:r>
        <w:rPr>
          <w:rFonts w:ascii="Times New Roman" w:hAnsi="Times New Roman"/>
          <w:b/>
          <w:sz w:val="32"/>
        </w:rPr>
        <w:t>Frische Farben für eine zeitgenössische Ikone</w:t>
      </w:r>
    </w:p>
    <w:p w14:paraId="2478A9FD" w14:textId="77777777" w:rsidR="00665ACE" w:rsidRDefault="00665ACE" w:rsidP="00B85F99">
      <w:pPr>
        <w:rPr>
          <w:rFonts w:ascii="Times New Roman" w:hAnsi="Times New Roman"/>
          <w:sz w:val="32"/>
        </w:rPr>
      </w:pPr>
    </w:p>
    <w:p w14:paraId="79EADDE1" w14:textId="7C7979FF" w:rsidR="008D75E3" w:rsidRPr="008D75E3" w:rsidRDefault="00665ACE" w:rsidP="00B85F99">
      <w:pPr>
        <w:rPr>
          <w:rFonts w:ascii="Times New Roman" w:eastAsia="Times New Roman" w:hAnsi="Times New Roman" w:cs="Times New Roman"/>
          <w:b/>
          <w:bCs/>
          <w:sz w:val="32"/>
          <w:szCs w:val="32"/>
        </w:rPr>
      </w:pPr>
      <w:r>
        <w:rPr>
          <w:rFonts w:ascii="Times New Roman" w:hAnsi="Times New Roman"/>
          <w:sz w:val="32"/>
        </w:rPr>
        <w:lastRenderedPageBreak/>
        <w:t xml:space="preserve">Die Chief Date ist bekannt für ihr meisterhaftes Spiel mit der Geometrie. </w:t>
      </w:r>
      <w:r w:rsidR="00B969E9" w:rsidRPr="00B969E9">
        <w:rPr>
          <w:rFonts w:ascii="Times New Roman" w:hAnsi="Times New Roman"/>
          <w:sz w:val="32"/>
        </w:rPr>
        <w:t>Das charakteristische kissenförmige 40-mm-Gehäuse mit seinem facettenreichen Design prägt die Chief Date</w:t>
      </w:r>
      <w:r>
        <w:rPr>
          <w:rFonts w:ascii="Times New Roman" w:hAnsi="Times New Roman"/>
          <w:sz w:val="32"/>
        </w:rPr>
        <w:t>. Die aufwändige Konturierung der Gehäuseseiten, kombiniert mit abwechselnd satinierten und polierten Oberflächen, verleiht der Uhr am Handgelenk  schlankeres und dynamischeres Erscheinungsbild.</w:t>
      </w:r>
    </w:p>
    <w:p w14:paraId="7FD5045B" w14:textId="77777777" w:rsidR="000920A0" w:rsidRPr="0021084D" w:rsidRDefault="000920A0">
      <w:pPr>
        <w:rPr>
          <w:rFonts w:ascii="Times New Roman" w:eastAsia="Times New Roman" w:hAnsi="Times New Roman" w:cs="Times New Roman"/>
          <w:sz w:val="32"/>
          <w:szCs w:val="32"/>
        </w:rPr>
      </w:pPr>
    </w:p>
    <w:p w14:paraId="05F0B9AD" w14:textId="17478AE1" w:rsidR="000920A0" w:rsidRDefault="008D75E3" w:rsidP="00B85F99">
      <w:pPr>
        <w:rPr>
          <w:rFonts w:ascii="Times New Roman" w:hAnsi="Times New Roman"/>
          <w:sz w:val="32"/>
        </w:rPr>
      </w:pPr>
      <w:r>
        <w:rPr>
          <w:rFonts w:ascii="Times New Roman" w:hAnsi="Times New Roman"/>
          <w:sz w:val="32"/>
        </w:rPr>
        <w:t xml:space="preserve">Passend zum architektonischen Gehäuse verfügt das gemusterte Zifferblatt über das Sanduhr-Monogramm von Favre Leuba. Die strukturierte Oberfläche dient als Leinwand für die beiden saisonalen Farben: Mint Green, ein frischer, botanischer Ton, und Ice Blue, </w:t>
      </w:r>
      <w:r w:rsidR="00B969E9" w:rsidRPr="00B969E9">
        <w:rPr>
          <w:rFonts w:ascii="Times New Roman" w:hAnsi="Times New Roman"/>
          <w:sz w:val="32"/>
        </w:rPr>
        <w:t>ein kühler, transluzenter Farbton</w:t>
      </w:r>
      <w:r w:rsidR="00676C20">
        <w:rPr>
          <w:rFonts w:ascii="Times New Roman" w:hAnsi="Times New Roman"/>
          <w:sz w:val="32"/>
        </w:rPr>
        <w:t xml:space="preserve">, </w:t>
      </w:r>
      <w:r>
        <w:rPr>
          <w:rFonts w:ascii="Times New Roman" w:hAnsi="Times New Roman"/>
          <w:sz w:val="32"/>
        </w:rPr>
        <w:t>der von Gletscherwasser inspiriert ist.</w:t>
      </w:r>
    </w:p>
    <w:p w14:paraId="25E34D1A" w14:textId="77777777" w:rsidR="00665ACE" w:rsidRPr="0021084D" w:rsidRDefault="00665ACE" w:rsidP="00665ACE">
      <w:pPr>
        <w:jc w:val="both"/>
        <w:rPr>
          <w:rFonts w:ascii="Times New Roman" w:eastAsia="Times New Roman" w:hAnsi="Times New Roman" w:cs="Times New Roman"/>
          <w:sz w:val="32"/>
          <w:szCs w:val="32"/>
        </w:rPr>
      </w:pPr>
    </w:p>
    <w:p w14:paraId="65543144" w14:textId="77777777" w:rsidR="00665ACE" w:rsidRDefault="00665ACE" w:rsidP="00B85F99">
      <w:pPr>
        <w:rPr>
          <w:rFonts w:ascii="Times New Roman" w:hAnsi="Times New Roman"/>
          <w:b/>
          <w:sz w:val="32"/>
        </w:rPr>
      </w:pPr>
      <w:r>
        <w:rPr>
          <w:rFonts w:ascii="Times New Roman" w:hAnsi="Times New Roman"/>
          <w:b/>
          <w:sz w:val="32"/>
        </w:rPr>
        <w:t>Vintage-Inspiration, moderne Mechanik</w:t>
      </w:r>
    </w:p>
    <w:p w14:paraId="25D06F53" w14:textId="77777777" w:rsidR="00665ACE" w:rsidRDefault="00665ACE" w:rsidP="00B85F99">
      <w:pPr>
        <w:rPr>
          <w:rFonts w:ascii="Times New Roman" w:hAnsi="Times New Roman"/>
          <w:sz w:val="32"/>
        </w:rPr>
      </w:pPr>
    </w:p>
    <w:p w14:paraId="570DFEA0" w14:textId="77777777" w:rsidR="00665ACE" w:rsidRDefault="00665ACE" w:rsidP="00B85F99">
      <w:pPr>
        <w:rPr>
          <w:rFonts w:ascii="Times New Roman" w:hAnsi="Times New Roman"/>
          <w:sz w:val="32"/>
        </w:rPr>
      </w:pPr>
      <w:r>
        <w:rPr>
          <w:rFonts w:ascii="Times New Roman" w:hAnsi="Times New Roman"/>
          <w:sz w:val="32"/>
        </w:rPr>
        <w:t xml:space="preserve">Beide Modelle werden vom FLD03-Automatikkaliber angetrieben, das eine 68-Stunden-Gangreserve bietet. Das Uhrwerk, das durch den Sichtboden zu bewundern ist, weist zahlreiche Veredelungen wie Genfer Streifen, wärmegebläute Schrauben, Colimaçonnage, Soleillage und einen individuell gestalteten, skelettierten Rotor in 4N-Gold auf. </w:t>
      </w:r>
    </w:p>
    <w:p w14:paraId="1F21ED82" w14:textId="77777777" w:rsidR="00665ACE" w:rsidRDefault="00665ACE" w:rsidP="00B85F99">
      <w:pPr>
        <w:rPr>
          <w:rFonts w:ascii="Times New Roman" w:hAnsi="Times New Roman"/>
          <w:sz w:val="32"/>
        </w:rPr>
      </w:pPr>
    </w:p>
    <w:p w14:paraId="7F0FE188" w14:textId="4EEE182A" w:rsidR="000920A0" w:rsidRDefault="00665ACE" w:rsidP="00B85F99">
      <w:pPr>
        <w:rPr>
          <w:rFonts w:ascii="Times New Roman" w:hAnsi="Times New Roman"/>
          <w:sz w:val="32"/>
        </w:rPr>
      </w:pPr>
      <w:r>
        <w:rPr>
          <w:rFonts w:ascii="Times New Roman" w:hAnsi="Times New Roman"/>
          <w:sz w:val="32"/>
        </w:rPr>
        <w:t>Mit einer Gehäusedicke von 10,81 mm ist die Chief Date auf optimalen täglichen Tragekomfort ausgelegt. Das integrierte Armband verfügt zudem über ein Schnellwechselsystem, das mit den vorhandenen Chief Date Gummiarmbändern kompatibel ist.</w:t>
      </w:r>
    </w:p>
    <w:p w14:paraId="69E40259" w14:textId="77777777" w:rsidR="008A361C" w:rsidRPr="00665ACE" w:rsidRDefault="008A361C" w:rsidP="00B85F99">
      <w:pPr>
        <w:rPr>
          <w:rFonts w:ascii="Times New Roman" w:hAnsi="Times New Roman"/>
          <w:sz w:val="32"/>
        </w:rPr>
      </w:pPr>
    </w:p>
    <w:p w14:paraId="671F932D" w14:textId="62F834F0" w:rsidR="00E52A94" w:rsidRPr="00E52A94" w:rsidRDefault="008A361C" w:rsidP="00E52A94">
      <w:pPr>
        <w:pStyle w:val="Heading1"/>
        <w:rPr>
          <w:rFonts w:ascii="Times New Roman" w:eastAsia="Times New Roman" w:hAnsi="Times New Roman" w:cs="Times New Roman"/>
          <w:sz w:val="32"/>
          <w:szCs w:val="32"/>
        </w:rPr>
      </w:pPr>
      <w:r w:rsidRPr="008A361C">
        <w:rPr>
          <w:rFonts w:ascii="Times New Roman" w:eastAsia="Times New Roman" w:hAnsi="Times New Roman" w:cs="Times New Roman"/>
          <w:sz w:val="32"/>
          <w:szCs w:val="32"/>
        </w:rPr>
        <w:lastRenderedPageBreak/>
        <w:t xml:space="preserve">Die </w:t>
      </w:r>
      <w:r w:rsidR="00E52A94">
        <w:rPr>
          <w:rFonts w:ascii="Times New Roman" w:eastAsia="Times New Roman" w:hAnsi="Times New Roman" w:cs="Times New Roman"/>
          <w:sz w:val="32"/>
          <w:szCs w:val="32"/>
        </w:rPr>
        <w:t>Chief Date</w:t>
      </w:r>
      <w:r w:rsidRPr="008A361C">
        <w:rPr>
          <w:rFonts w:ascii="Times New Roman" w:eastAsia="Times New Roman" w:hAnsi="Times New Roman" w:cs="Times New Roman"/>
          <w:sz w:val="32"/>
          <w:szCs w:val="32"/>
        </w:rPr>
        <w:t xml:space="preserve"> ist zu folgendem Preis erhältlich: </w:t>
      </w:r>
    </w:p>
    <w:p w14:paraId="1F4C2DBF" w14:textId="4AD6B959" w:rsidR="000920A0" w:rsidRPr="008A361C" w:rsidRDefault="00E52A94" w:rsidP="00E52A94">
      <w:pPr>
        <w:pStyle w:val="Heading1"/>
        <w:rPr>
          <w:rFonts w:ascii="Times New Roman" w:eastAsia="Times New Roman" w:hAnsi="Times New Roman" w:cs="Times New Roman"/>
          <w:sz w:val="32"/>
          <w:szCs w:val="32"/>
        </w:rPr>
      </w:pPr>
      <w:r w:rsidRPr="00E52A94">
        <w:rPr>
          <w:rFonts w:ascii="Times New Roman" w:eastAsia="Times New Roman" w:hAnsi="Times New Roman" w:cs="Times New Roman"/>
          <w:sz w:val="32"/>
          <w:szCs w:val="32"/>
        </w:rPr>
        <w:t>CHF 2’375</w:t>
      </w:r>
      <w:r>
        <w:rPr>
          <w:rFonts w:ascii="Times New Roman" w:eastAsia="Times New Roman" w:hAnsi="Times New Roman" w:cs="Times New Roman"/>
          <w:sz w:val="32"/>
          <w:szCs w:val="32"/>
        </w:rPr>
        <w:br/>
      </w:r>
      <w:r w:rsidRPr="00E52A94">
        <w:rPr>
          <w:rFonts w:ascii="Times New Roman" w:eastAsia="Times New Roman" w:hAnsi="Times New Roman" w:cs="Times New Roman"/>
          <w:sz w:val="32"/>
          <w:szCs w:val="32"/>
        </w:rPr>
        <w:t xml:space="preserve">USD 3,050 </w:t>
      </w:r>
      <w:r>
        <w:rPr>
          <w:rFonts w:ascii="Times New Roman" w:eastAsia="Times New Roman" w:hAnsi="Times New Roman" w:cs="Times New Roman"/>
          <w:sz w:val="32"/>
          <w:szCs w:val="32"/>
        </w:rPr>
        <w:br/>
      </w:r>
      <w:r w:rsidRPr="00E52A94">
        <w:rPr>
          <w:rFonts w:ascii="Times New Roman" w:eastAsia="Times New Roman" w:hAnsi="Times New Roman" w:cs="Times New Roman"/>
          <w:sz w:val="32"/>
          <w:szCs w:val="32"/>
        </w:rPr>
        <w:t xml:space="preserve">EUR 2,775 </w:t>
      </w:r>
      <w:r>
        <w:rPr>
          <w:rFonts w:ascii="Times New Roman" w:eastAsia="Times New Roman" w:hAnsi="Times New Roman" w:cs="Times New Roman"/>
          <w:sz w:val="32"/>
          <w:szCs w:val="32"/>
        </w:rPr>
        <w:br/>
      </w:r>
      <w:r w:rsidRPr="00E52A94">
        <w:rPr>
          <w:rFonts w:ascii="Times New Roman" w:eastAsia="Times New Roman" w:hAnsi="Times New Roman" w:cs="Times New Roman"/>
          <w:sz w:val="32"/>
          <w:szCs w:val="32"/>
        </w:rPr>
        <w:t>GBP 2,375</w:t>
      </w:r>
    </w:p>
    <w:p w14:paraId="4883BE4B" w14:textId="77777777" w:rsidR="000920A0" w:rsidRPr="0021084D" w:rsidRDefault="00665ACE">
      <w:pPr>
        <w:pStyle w:val="Heading1"/>
        <w:keepNext w:val="0"/>
        <w:keepLines w:val="0"/>
        <w:spacing w:before="0" w:after="0"/>
        <w:rPr>
          <w:rFonts w:ascii="Times New Roman" w:eastAsia="Times New Roman" w:hAnsi="Times New Roman" w:cs="Times New Roman"/>
          <w:b/>
          <w:bCs/>
          <w:sz w:val="32"/>
          <w:szCs w:val="32"/>
        </w:rPr>
      </w:pPr>
      <w:r>
        <w:rPr>
          <w:rFonts w:ascii="Times New Roman" w:hAnsi="Times New Roman"/>
          <w:b/>
          <w:sz w:val="32"/>
        </w:rPr>
        <w:t>Technische Daten</w:t>
      </w:r>
    </w:p>
    <w:p w14:paraId="01282F26" w14:textId="77777777" w:rsidR="000920A0" w:rsidRPr="0021084D" w:rsidRDefault="000920A0">
      <w:pPr>
        <w:rPr>
          <w:rFonts w:ascii="Times New Roman" w:eastAsia="Times New Roman" w:hAnsi="Times New Roman" w:cs="Times New Roman"/>
          <w:sz w:val="32"/>
          <w:szCs w:val="32"/>
        </w:rPr>
      </w:pPr>
    </w:p>
    <w:p w14:paraId="7DA5677E" w14:textId="77777777" w:rsidR="000920A0" w:rsidRPr="0021084D" w:rsidRDefault="00665ACE">
      <w:pPr>
        <w:pStyle w:val="Heading1"/>
        <w:keepNext w:val="0"/>
        <w:keepLines w:val="0"/>
        <w:spacing w:before="0" w:after="0"/>
        <w:ind w:left="1700" w:hanging="1700"/>
        <w:rPr>
          <w:rFonts w:ascii="Times New Roman" w:eastAsia="Times New Roman" w:hAnsi="Times New Roman" w:cs="Times New Roman"/>
          <w:color w:val="1D1D1D"/>
          <w:sz w:val="32"/>
          <w:szCs w:val="32"/>
        </w:rPr>
      </w:pPr>
      <w:r>
        <w:rPr>
          <w:rFonts w:ascii="Times New Roman" w:hAnsi="Times New Roman"/>
          <w:b/>
          <w:color w:val="1D1D1D"/>
          <w:sz w:val="32"/>
        </w:rPr>
        <w:t>Gehäuse:</w:t>
      </w:r>
      <w:r>
        <w:rPr>
          <w:rFonts w:ascii="Times New Roman" w:hAnsi="Times New Roman"/>
          <w:b/>
          <w:color w:val="1D1D1D"/>
          <w:sz w:val="32"/>
        </w:rPr>
        <w:tab/>
      </w:r>
      <w:r>
        <w:rPr>
          <w:rFonts w:ascii="Times New Roman" w:hAnsi="Times New Roman"/>
          <w:b/>
          <w:color w:val="1D1D1D"/>
          <w:sz w:val="32"/>
        </w:rPr>
        <w:tab/>
      </w:r>
      <w:r>
        <w:rPr>
          <w:rFonts w:ascii="Times New Roman" w:hAnsi="Times New Roman"/>
          <w:color w:val="1D1D1D"/>
          <w:sz w:val="32"/>
        </w:rPr>
        <w:t>: Edelstahl, wasserfest bis 10 ATM, geschwungenes Saphirglas mit Antireflexionsbeschichtung, Saphirglasboden und Krone mit geprägtem Monogramm.</w:t>
      </w:r>
    </w:p>
    <w:p w14:paraId="4D8050CC" w14:textId="77777777" w:rsidR="000920A0" w:rsidRPr="0021084D" w:rsidRDefault="000920A0">
      <w:pPr>
        <w:rPr>
          <w:sz w:val="32"/>
          <w:szCs w:val="32"/>
        </w:rPr>
      </w:pPr>
    </w:p>
    <w:p w14:paraId="4EA8896F" w14:textId="77777777" w:rsidR="000920A0" w:rsidRPr="0021084D" w:rsidRDefault="00665ACE">
      <w:pPr>
        <w:pStyle w:val="Heading1"/>
        <w:keepNext w:val="0"/>
        <w:keepLines w:val="0"/>
        <w:spacing w:before="0" w:after="0"/>
        <w:ind w:left="1700" w:hanging="1700"/>
        <w:rPr>
          <w:rFonts w:ascii="Times New Roman" w:eastAsia="Times New Roman" w:hAnsi="Times New Roman" w:cs="Times New Roman"/>
          <w:color w:val="1D1D1D"/>
          <w:sz w:val="32"/>
          <w:szCs w:val="32"/>
        </w:rPr>
      </w:pPr>
      <w:r>
        <w:rPr>
          <w:rFonts w:ascii="Times New Roman" w:hAnsi="Times New Roman"/>
          <w:b/>
          <w:color w:val="1D1D1D"/>
          <w:sz w:val="32"/>
        </w:rPr>
        <w:t>Durchmesser</w:t>
      </w:r>
      <w:r>
        <w:rPr>
          <w:rFonts w:ascii="Times New Roman" w:hAnsi="Times New Roman"/>
          <w:b/>
          <w:color w:val="1D1D1D"/>
          <w:sz w:val="32"/>
        </w:rPr>
        <w:tab/>
      </w:r>
      <w:r>
        <w:rPr>
          <w:rFonts w:ascii="Times New Roman" w:hAnsi="Times New Roman"/>
          <w:b/>
          <w:color w:val="1D1D1D"/>
          <w:sz w:val="32"/>
        </w:rPr>
        <w:tab/>
        <w:t>:</w:t>
      </w:r>
      <w:r>
        <w:rPr>
          <w:rFonts w:ascii="Times New Roman" w:hAnsi="Times New Roman"/>
          <w:color w:val="1D1D1D"/>
          <w:sz w:val="32"/>
        </w:rPr>
        <w:t xml:space="preserve"> 40 mm</w:t>
      </w:r>
    </w:p>
    <w:p w14:paraId="32AD53AC" w14:textId="77777777" w:rsidR="000920A0" w:rsidRPr="0021084D" w:rsidRDefault="000920A0">
      <w:pPr>
        <w:pStyle w:val="Heading1"/>
        <w:keepNext w:val="0"/>
        <w:keepLines w:val="0"/>
        <w:spacing w:before="0" w:after="0"/>
        <w:ind w:left="1700" w:hanging="1700"/>
        <w:rPr>
          <w:rFonts w:ascii="Times New Roman" w:eastAsia="Times New Roman" w:hAnsi="Times New Roman" w:cs="Times New Roman"/>
          <w:b/>
          <w:bCs/>
          <w:color w:val="1D1D1D"/>
          <w:sz w:val="32"/>
          <w:szCs w:val="32"/>
        </w:rPr>
      </w:pPr>
      <w:bookmarkStart w:id="1" w:name="_heading=h.r69swhiod4ku"/>
      <w:bookmarkEnd w:id="1"/>
    </w:p>
    <w:p w14:paraId="3E6FB9FD" w14:textId="77777777" w:rsidR="000920A0" w:rsidRPr="0021084D" w:rsidRDefault="00665ACE">
      <w:pPr>
        <w:pStyle w:val="Heading1"/>
        <w:keepNext w:val="0"/>
        <w:keepLines w:val="0"/>
        <w:spacing w:before="0" w:after="0"/>
        <w:ind w:left="1700" w:hanging="1700"/>
        <w:rPr>
          <w:rFonts w:ascii="Times New Roman" w:eastAsia="Times New Roman" w:hAnsi="Times New Roman" w:cs="Times New Roman"/>
          <w:color w:val="1D1D1D"/>
          <w:sz w:val="32"/>
          <w:szCs w:val="32"/>
        </w:rPr>
      </w:pPr>
      <w:r>
        <w:rPr>
          <w:rFonts w:ascii="Times New Roman" w:hAnsi="Times New Roman"/>
          <w:b/>
          <w:color w:val="1D1D1D"/>
          <w:sz w:val="32"/>
        </w:rPr>
        <w:t>Dicke</w:t>
      </w:r>
      <w:r>
        <w:rPr>
          <w:rFonts w:ascii="Times New Roman" w:hAnsi="Times New Roman"/>
          <w:b/>
          <w:color w:val="1D1D1D"/>
          <w:sz w:val="32"/>
        </w:rPr>
        <w:tab/>
      </w:r>
      <w:r>
        <w:rPr>
          <w:rFonts w:ascii="Times New Roman" w:hAnsi="Times New Roman"/>
          <w:b/>
          <w:color w:val="1D1D1D"/>
          <w:sz w:val="32"/>
        </w:rPr>
        <w:tab/>
        <w:t xml:space="preserve">: </w:t>
      </w:r>
      <w:r>
        <w:rPr>
          <w:rFonts w:ascii="Times New Roman" w:hAnsi="Times New Roman"/>
          <w:color w:val="1D1D1D"/>
          <w:sz w:val="32"/>
        </w:rPr>
        <w:t>10,81 mm</w:t>
      </w:r>
    </w:p>
    <w:p w14:paraId="5F3EE3D8" w14:textId="77777777" w:rsidR="000920A0" w:rsidRPr="0021084D" w:rsidRDefault="000920A0">
      <w:pPr>
        <w:pStyle w:val="Heading1"/>
        <w:keepNext w:val="0"/>
        <w:keepLines w:val="0"/>
        <w:spacing w:before="0" w:after="0"/>
        <w:ind w:left="1700" w:hanging="1700"/>
        <w:rPr>
          <w:rFonts w:ascii="Times New Roman" w:eastAsia="Times New Roman" w:hAnsi="Times New Roman" w:cs="Times New Roman"/>
          <w:b/>
          <w:bCs/>
          <w:color w:val="1D1D1D"/>
          <w:sz w:val="32"/>
          <w:szCs w:val="32"/>
        </w:rPr>
      </w:pPr>
      <w:bookmarkStart w:id="2" w:name="_heading=h.43w5099wahln"/>
      <w:bookmarkEnd w:id="2"/>
    </w:p>
    <w:p w14:paraId="0AB7B382" w14:textId="77777777" w:rsidR="000920A0" w:rsidRPr="0021084D" w:rsidRDefault="00665ACE">
      <w:pPr>
        <w:pStyle w:val="Heading1"/>
        <w:keepNext w:val="0"/>
        <w:keepLines w:val="0"/>
        <w:spacing w:before="0" w:after="0"/>
        <w:ind w:left="1700" w:hanging="1700"/>
        <w:rPr>
          <w:rFonts w:ascii="Times New Roman" w:eastAsia="Times New Roman" w:hAnsi="Times New Roman" w:cs="Times New Roman"/>
          <w:color w:val="1D1D1D"/>
          <w:sz w:val="32"/>
          <w:szCs w:val="32"/>
        </w:rPr>
      </w:pPr>
      <w:r>
        <w:rPr>
          <w:rFonts w:ascii="Times New Roman" w:hAnsi="Times New Roman"/>
          <w:b/>
          <w:color w:val="1D1D1D"/>
          <w:sz w:val="32"/>
        </w:rPr>
        <w:t>Uhrwerk:</w:t>
      </w:r>
      <w:r>
        <w:rPr>
          <w:rFonts w:ascii="Times New Roman" w:hAnsi="Times New Roman"/>
          <w:b/>
          <w:color w:val="1D1D1D"/>
          <w:sz w:val="32"/>
        </w:rPr>
        <w:tab/>
      </w:r>
      <w:r>
        <w:rPr>
          <w:rFonts w:ascii="Times New Roman" w:hAnsi="Times New Roman"/>
          <w:b/>
          <w:color w:val="1D1D1D"/>
          <w:sz w:val="32"/>
        </w:rPr>
        <w:tab/>
        <w:t xml:space="preserve">: </w:t>
      </w:r>
      <w:r>
        <w:rPr>
          <w:rFonts w:ascii="Times New Roman" w:hAnsi="Times New Roman"/>
          <w:color w:val="1D1D1D"/>
          <w:sz w:val="32"/>
        </w:rPr>
        <w:t xml:space="preserve">FLD03 (basiert auf LJP G100) </w:t>
      </w:r>
    </w:p>
    <w:p w14:paraId="446E3421" w14:textId="77777777" w:rsidR="000920A0" w:rsidRPr="0021084D" w:rsidRDefault="00665ACE">
      <w:pPr>
        <w:pStyle w:val="Heading1"/>
        <w:keepNext w:val="0"/>
        <w:keepLines w:val="0"/>
        <w:spacing w:before="0" w:after="0"/>
        <w:ind w:left="2160"/>
        <w:rPr>
          <w:rFonts w:ascii="Times New Roman" w:eastAsia="Times New Roman" w:hAnsi="Times New Roman" w:cs="Times New Roman"/>
          <w:color w:val="1D1D1D"/>
          <w:sz w:val="32"/>
          <w:szCs w:val="32"/>
        </w:rPr>
      </w:pPr>
      <w:bookmarkStart w:id="3" w:name="_heading=h.7s13g8pgxmja"/>
      <w:bookmarkEnd w:id="3"/>
      <w:r>
        <w:rPr>
          <w:rFonts w:ascii="Times New Roman" w:hAnsi="Times New Roman"/>
          <w:color w:val="1D1D1D"/>
          <w:sz w:val="32"/>
        </w:rPr>
        <w:t xml:space="preserve">  Selbstaufziehend, 68-Stunden-Gangreserve </w:t>
      </w:r>
    </w:p>
    <w:p w14:paraId="52D2AEC7" w14:textId="77777777" w:rsidR="000920A0" w:rsidRPr="0021084D" w:rsidRDefault="00665ACE">
      <w:pPr>
        <w:pStyle w:val="Heading1"/>
        <w:keepNext w:val="0"/>
        <w:keepLines w:val="0"/>
        <w:spacing w:before="0" w:after="0"/>
        <w:ind w:left="2160"/>
        <w:rPr>
          <w:rFonts w:ascii="Times New Roman" w:eastAsia="Times New Roman" w:hAnsi="Times New Roman" w:cs="Times New Roman"/>
          <w:color w:val="1D1D1D"/>
          <w:sz w:val="32"/>
          <w:szCs w:val="32"/>
        </w:rPr>
      </w:pPr>
      <w:bookmarkStart w:id="4" w:name="_heading=h.rsjigr2fu9a5"/>
      <w:bookmarkEnd w:id="4"/>
      <w:r>
        <w:rPr>
          <w:rFonts w:ascii="Times New Roman" w:hAnsi="Times New Roman"/>
          <w:color w:val="1D1D1D"/>
          <w:sz w:val="32"/>
        </w:rPr>
        <w:t xml:space="preserve">  28.800 Halbschwingungen pro Stunde (4 Hz), </w:t>
      </w:r>
    </w:p>
    <w:p w14:paraId="7787EB7F" w14:textId="77777777" w:rsidR="000920A0" w:rsidRPr="0021084D" w:rsidRDefault="00665ACE">
      <w:pPr>
        <w:pStyle w:val="Heading1"/>
        <w:keepNext w:val="0"/>
        <w:keepLines w:val="0"/>
        <w:spacing w:before="0" w:after="0"/>
        <w:ind w:left="2160"/>
        <w:rPr>
          <w:rFonts w:ascii="Times New Roman" w:eastAsia="Times New Roman" w:hAnsi="Times New Roman" w:cs="Times New Roman"/>
          <w:color w:val="1D1D1D"/>
          <w:sz w:val="32"/>
          <w:szCs w:val="32"/>
        </w:rPr>
      </w:pPr>
      <w:bookmarkStart w:id="5" w:name="_heading=h.tyn3szdqgv1i"/>
      <w:bookmarkEnd w:id="5"/>
      <w:r>
        <w:rPr>
          <w:rFonts w:ascii="Times New Roman" w:hAnsi="Times New Roman"/>
          <w:color w:val="1D1D1D"/>
          <w:sz w:val="32"/>
        </w:rPr>
        <w:t xml:space="preserve">  24 Lagersteine </w:t>
      </w:r>
    </w:p>
    <w:p w14:paraId="346253DC" w14:textId="77777777" w:rsidR="000920A0" w:rsidRPr="0021084D" w:rsidRDefault="000920A0">
      <w:pPr>
        <w:ind w:left="2160"/>
        <w:rPr>
          <w:rFonts w:ascii="Times New Roman" w:eastAsia="Times New Roman" w:hAnsi="Times New Roman" w:cs="Times New Roman"/>
          <w:color w:val="1D1D1D"/>
          <w:sz w:val="32"/>
          <w:szCs w:val="32"/>
        </w:rPr>
      </w:pPr>
    </w:p>
    <w:p w14:paraId="3B37E7FA" w14:textId="77777777" w:rsidR="000920A0" w:rsidRPr="0021084D" w:rsidRDefault="00665ACE">
      <w:pPr>
        <w:ind w:left="2160"/>
        <w:rPr>
          <w:rFonts w:ascii="Times New Roman" w:eastAsia="Times New Roman" w:hAnsi="Times New Roman" w:cs="Times New Roman"/>
          <w:color w:val="1D1D1D"/>
          <w:sz w:val="32"/>
          <w:szCs w:val="32"/>
        </w:rPr>
      </w:pPr>
      <w:r>
        <w:rPr>
          <w:rFonts w:ascii="Times New Roman" w:hAnsi="Times New Roman"/>
          <w:color w:val="1D1D1D"/>
          <w:sz w:val="32"/>
        </w:rPr>
        <w:t>Genfer Streifen, wärmegebläute Schrauben, Colimaçonnage, Soleillage, graviertes Monogramm auf dem Rotor</w:t>
      </w:r>
    </w:p>
    <w:p w14:paraId="6ACB3F7A" w14:textId="77777777" w:rsidR="000920A0" w:rsidRPr="0021084D" w:rsidRDefault="000920A0">
      <w:pPr>
        <w:pStyle w:val="Heading1"/>
        <w:keepNext w:val="0"/>
        <w:keepLines w:val="0"/>
        <w:spacing w:before="0" w:after="0"/>
        <w:ind w:left="1700" w:hanging="1700"/>
        <w:rPr>
          <w:rFonts w:ascii="Times New Roman" w:eastAsia="Times New Roman" w:hAnsi="Times New Roman" w:cs="Times New Roman"/>
          <w:b/>
          <w:bCs/>
          <w:color w:val="1D1D1D"/>
          <w:sz w:val="32"/>
          <w:szCs w:val="32"/>
        </w:rPr>
      </w:pPr>
      <w:bookmarkStart w:id="6" w:name="_heading=h.hx5nsppkfkqw"/>
      <w:bookmarkEnd w:id="6"/>
    </w:p>
    <w:p w14:paraId="124F2D79" w14:textId="77777777" w:rsidR="000920A0" w:rsidRPr="0021084D" w:rsidRDefault="00665ACE">
      <w:pPr>
        <w:pStyle w:val="Heading1"/>
        <w:keepNext w:val="0"/>
        <w:keepLines w:val="0"/>
        <w:spacing w:before="0" w:after="0"/>
        <w:ind w:left="1700" w:hanging="1700"/>
        <w:rPr>
          <w:rFonts w:ascii="Times New Roman" w:eastAsia="Times New Roman" w:hAnsi="Times New Roman" w:cs="Times New Roman"/>
          <w:color w:val="1D1D1D"/>
          <w:sz w:val="32"/>
          <w:szCs w:val="32"/>
        </w:rPr>
      </w:pPr>
      <w:r>
        <w:rPr>
          <w:rFonts w:ascii="Times New Roman" w:hAnsi="Times New Roman"/>
          <w:b/>
          <w:color w:val="1D1D1D"/>
          <w:sz w:val="32"/>
        </w:rPr>
        <w:t>Funktionen</w:t>
      </w:r>
      <w:r>
        <w:rPr>
          <w:rFonts w:ascii="Times New Roman" w:hAnsi="Times New Roman"/>
          <w:b/>
          <w:color w:val="1D1D1D"/>
          <w:sz w:val="32"/>
        </w:rPr>
        <w:tab/>
      </w:r>
      <w:r>
        <w:rPr>
          <w:rFonts w:ascii="Times New Roman" w:hAnsi="Times New Roman"/>
          <w:b/>
          <w:color w:val="1D1D1D"/>
          <w:sz w:val="32"/>
        </w:rPr>
        <w:tab/>
        <w:t xml:space="preserve">: </w:t>
      </w:r>
      <w:r>
        <w:rPr>
          <w:rFonts w:ascii="Times New Roman" w:hAnsi="Times New Roman"/>
          <w:color w:val="1D1D1D"/>
          <w:sz w:val="32"/>
        </w:rPr>
        <w:t>Stunden, Minuten, Sekunden und Datum</w:t>
      </w:r>
    </w:p>
    <w:p w14:paraId="02904211" w14:textId="77777777" w:rsidR="000920A0" w:rsidRPr="0021084D" w:rsidRDefault="000920A0">
      <w:pPr>
        <w:pStyle w:val="Heading1"/>
        <w:keepNext w:val="0"/>
        <w:keepLines w:val="0"/>
        <w:spacing w:before="0" w:after="0"/>
        <w:ind w:left="1700" w:hanging="1700"/>
        <w:rPr>
          <w:rFonts w:ascii="Times New Roman" w:eastAsia="Times New Roman" w:hAnsi="Times New Roman" w:cs="Times New Roman"/>
          <w:b/>
          <w:bCs/>
          <w:color w:val="1D1D1D"/>
          <w:sz w:val="32"/>
          <w:szCs w:val="32"/>
        </w:rPr>
      </w:pPr>
      <w:bookmarkStart w:id="7" w:name="_heading=h.p439vil1ufb5"/>
      <w:bookmarkEnd w:id="7"/>
    </w:p>
    <w:p w14:paraId="7343481C" w14:textId="77777777" w:rsidR="000920A0" w:rsidRPr="0021084D" w:rsidRDefault="00665ACE">
      <w:pPr>
        <w:pStyle w:val="Heading1"/>
        <w:keepNext w:val="0"/>
        <w:keepLines w:val="0"/>
        <w:spacing w:before="0" w:after="0"/>
        <w:ind w:left="2160" w:hanging="2160"/>
        <w:rPr>
          <w:rFonts w:ascii="Times New Roman" w:eastAsia="Times New Roman" w:hAnsi="Times New Roman" w:cs="Times New Roman"/>
          <w:color w:val="1D1D1D"/>
          <w:sz w:val="32"/>
          <w:szCs w:val="32"/>
        </w:rPr>
      </w:pPr>
      <w:bookmarkStart w:id="8" w:name="_heading=h.84vfib1w8pc1"/>
      <w:bookmarkEnd w:id="8"/>
      <w:r>
        <w:rPr>
          <w:rFonts w:ascii="Times New Roman" w:hAnsi="Times New Roman"/>
          <w:b/>
          <w:color w:val="1D1D1D"/>
          <w:sz w:val="32"/>
        </w:rPr>
        <w:t>Zifferblatt</w:t>
      </w:r>
      <w:r>
        <w:rPr>
          <w:rFonts w:ascii="Times New Roman" w:hAnsi="Times New Roman"/>
          <w:b/>
          <w:color w:val="1D1D1D"/>
          <w:sz w:val="32"/>
        </w:rPr>
        <w:tab/>
        <w:t>:</w:t>
      </w:r>
      <w:r>
        <w:rPr>
          <w:rFonts w:ascii="Times New Roman" w:hAnsi="Times New Roman"/>
          <w:color w:val="1D1D1D"/>
          <w:sz w:val="32"/>
        </w:rPr>
        <w:t xml:space="preserve"> Gemustertes Zifferblatt mit seidenmattem Sonnenschliff und einem in die Oberfläche eingelassenen, vertieften 3D-Logo. Applizierte rhodinierte Indizes mit poliertem Finish und </w:t>
      </w:r>
      <w:r>
        <w:rPr>
          <w:rFonts w:ascii="Times New Roman" w:hAnsi="Times New Roman"/>
          <w:color w:val="1D1D1D"/>
          <w:sz w:val="32"/>
        </w:rPr>
        <w:lastRenderedPageBreak/>
        <w:t>sandgestrahlten Rillen, ergänzt durch SuperLumiNova C1 X1 (blau). Die Stunden- und Minutenzeiger sind rhodiniert, mit einem gebürsteten Finish und sandgestrahlten Rillen versehen und ebenfalls mit SuperLumiNova C1 X1 (blau) beschichtet.</w:t>
      </w:r>
    </w:p>
    <w:p w14:paraId="77325461" w14:textId="77777777" w:rsidR="000920A0" w:rsidRPr="0021084D" w:rsidRDefault="000920A0">
      <w:pPr>
        <w:rPr>
          <w:sz w:val="32"/>
          <w:szCs w:val="32"/>
        </w:rPr>
      </w:pPr>
    </w:p>
    <w:p w14:paraId="7427C35D" w14:textId="07A0F5CF" w:rsidR="000920A0" w:rsidRPr="0021084D" w:rsidRDefault="00665ACE" w:rsidP="00257C3E">
      <w:pPr>
        <w:pStyle w:val="Heading1"/>
        <w:keepNext w:val="0"/>
        <w:keepLines w:val="0"/>
        <w:spacing w:before="0" w:after="0"/>
        <w:ind w:left="2160" w:hanging="2160"/>
        <w:rPr>
          <w:rFonts w:ascii="Times New Roman" w:eastAsia="Times New Roman" w:hAnsi="Times New Roman" w:cs="Times New Roman"/>
          <w:sz w:val="32"/>
          <w:szCs w:val="32"/>
        </w:rPr>
      </w:pPr>
      <w:bookmarkStart w:id="9" w:name="_heading=h.ml9j3fm7mdse"/>
      <w:bookmarkEnd w:id="9"/>
      <w:r>
        <w:rPr>
          <w:rFonts w:ascii="Times New Roman" w:hAnsi="Times New Roman"/>
          <w:b/>
          <w:color w:val="1D1D1D"/>
          <w:sz w:val="32"/>
        </w:rPr>
        <w:t>Armband</w:t>
      </w:r>
      <w:r>
        <w:rPr>
          <w:rFonts w:ascii="Times New Roman" w:hAnsi="Times New Roman"/>
          <w:b/>
          <w:color w:val="1D1D1D"/>
          <w:sz w:val="32"/>
        </w:rPr>
        <w:tab/>
        <w:t xml:space="preserve">: </w:t>
      </w:r>
      <w:r>
        <w:rPr>
          <w:rFonts w:ascii="Times New Roman" w:hAnsi="Times New Roman"/>
          <w:color w:val="1D1D1D"/>
          <w:sz w:val="32"/>
        </w:rPr>
        <w:t xml:space="preserve">Integriertes Edelstahlarmband mit abwechselnd gebürsteten und polierten Oberflächen, das für einen nahtlosen Übergang zum Gehäuse sorgt. </w:t>
      </w:r>
      <w:r w:rsidR="00003842" w:rsidRPr="00003842">
        <w:rPr>
          <w:rFonts w:ascii="Times New Roman" w:hAnsi="Times New Roman"/>
          <w:color w:val="1D1D1D"/>
          <w:sz w:val="32"/>
        </w:rPr>
        <w:t>Gesichert mit einer Butterfly-Faltschließe mit eingraviertem</w:t>
      </w:r>
      <w:r w:rsidR="00003842">
        <w:rPr>
          <w:rFonts w:ascii="Times New Roman" w:hAnsi="Times New Roman"/>
          <w:color w:val="1D1D1D"/>
          <w:sz w:val="32"/>
        </w:rPr>
        <w:t xml:space="preserve"> </w:t>
      </w:r>
      <w:r>
        <w:rPr>
          <w:rFonts w:ascii="Times New Roman" w:hAnsi="Times New Roman"/>
          <w:color w:val="1D1D1D"/>
          <w:sz w:val="32"/>
        </w:rPr>
        <w:t>Favre Leuba Logo.</w:t>
      </w:r>
    </w:p>
    <w:p w14:paraId="347ECB8F" w14:textId="77777777" w:rsidR="000920A0" w:rsidRPr="0021084D" w:rsidRDefault="000920A0">
      <w:pPr>
        <w:rPr>
          <w:rFonts w:ascii="Times New Roman" w:eastAsia="Times New Roman" w:hAnsi="Times New Roman" w:cs="Times New Roman"/>
          <w:sz w:val="32"/>
          <w:szCs w:val="32"/>
        </w:rPr>
      </w:pPr>
    </w:p>
    <w:p w14:paraId="54D1CDD9" w14:textId="5BA34EAA" w:rsidR="000920A0" w:rsidRPr="0021084D" w:rsidRDefault="00665ACE">
      <w:pPr>
        <w:rPr>
          <w:rFonts w:ascii="Times New Roman" w:eastAsia="Times New Roman" w:hAnsi="Times New Roman" w:cs="Times New Roman"/>
          <w:sz w:val="32"/>
          <w:szCs w:val="32"/>
        </w:rPr>
      </w:pPr>
      <w:r>
        <w:rPr>
          <w:rFonts w:ascii="Times New Roman" w:hAnsi="Times New Roman"/>
          <w:sz w:val="32"/>
        </w:rPr>
        <w:t>Für Presseanfragen wenden Sie sich bitte an: susanne.hurni@favreleuba.com</w:t>
      </w:r>
    </w:p>
    <w:p w14:paraId="0FD2E310" w14:textId="77777777" w:rsidR="000920A0" w:rsidRPr="0021084D" w:rsidRDefault="000920A0">
      <w:pPr>
        <w:rPr>
          <w:rFonts w:ascii="Times New Roman" w:eastAsia="Times New Roman" w:hAnsi="Times New Roman" w:cs="Times New Roman"/>
          <w:b/>
          <w:bCs/>
          <w:sz w:val="32"/>
          <w:szCs w:val="32"/>
        </w:rPr>
      </w:pPr>
    </w:p>
    <w:p w14:paraId="285D9F80" w14:textId="77777777" w:rsidR="000920A0" w:rsidRPr="0021084D" w:rsidRDefault="00665ACE" w:rsidP="00B85F99">
      <w:pPr>
        <w:spacing w:after="240"/>
        <w:rPr>
          <w:rFonts w:ascii="Times New Roman" w:eastAsia="Times New Roman" w:hAnsi="Times New Roman" w:cs="Times New Roman"/>
          <w:sz w:val="32"/>
          <w:szCs w:val="32"/>
        </w:rPr>
      </w:pPr>
      <w:r>
        <w:rPr>
          <w:rFonts w:ascii="Times New Roman" w:hAnsi="Times New Roman"/>
          <w:b/>
          <w:sz w:val="32"/>
        </w:rPr>
        <w:t xml:space="preserve">Über Favre Leuba: </w:t>
      </w:r>
    </w:p>
    <w:p w14:paraId="2ABCBE4E" w14:textId="456D413B" w:rsidR="000920A0" w:rsidRPr="0021084D" w:rsidRDefault="00665ACE" w:rsidP="00B85F99">
      <w:pPr>
        <w:shd w:val="clear" w:color="auto" w:fill="FFFFFF"/>
        <w:spacing w:after="240"/>
        <w:rPr>
          <w:rFonts w:ascii="Times New Roman" w:eastAsia="Times New Roman" w:hAnsi="Times New Roman" w:cs="Times New Roman"/>
          <w:sz w:val="32"/>
          <w:szCs w:val="32"/>
        </w:rPr>
      </w:pPr>
      <w:r>
        <w:rPr>
          <w:rFonts w:ascii="Times New Roman" w:hAnsi="Times New Roman"/>
          <w:sz w:val="32"/>
        </w:rPr>
        <w:t>Favre Leuba wurde 1737 in Le Locle gegründet und ist die zweitälteste Schweizer Uhrenmarke. Das Haus mit seiner legendären, nahezu drei Jahrhunderte umfassenden Geschichte war stets ein Pionier bei der Entwicklung mechanischer Instrumente, die dem Leitgedanken von „Conquering Frontiers“ folgen.</w:t>
      </w:r>
    </w:p>
    <w:p w14:paraId="25DD70C8" w14:textId="77777777" w:rsidR="000920A0" w:rsidRPr="0021084D" w:rsidRDefault="00665ACE" w:rsidP="00B85F99">
      <w:pPr>
        <w:shd w:val="clear" w:color="auto" w:fill="FFFFFF"/>
        <w:spacing w:after="160"/>
        <w:rPr>
          <w:rFonts w:ascii="Times New Roman" w:eastAsia="Times New Roman" w:hAnsi="Times New Roman" w:cs="Times New Roman"/>
          <w:sz w:val="32"/>
          <w:szCs w:val="32"/>
        </w:rPr>
      </w:pPr>
      <w:r>
        <w:rPr>
          <w:rFonts w:ascii="Times New Roman" w:hAnsi="Times New Roman"/>
          <w:sz w:val="32"/>
        </w:rPr>
        <w:t>Nach einem globalen Neustart 2024 ist Favre Leuba in eine Ära der neuen „Renaissance“ eingetreten. Der aktuelle Katalog der Marke ruht auf fünf markanten Säulen – Chief, Sea Sky, Deep Raider sowie den kürzlich eingeführten Kollektionen Harpoon und 1737, die historische Designcodes mit modernem mechanischem Fortschritt verbinden. Im Jahr 2026 setzte Favre Leuba einen wegweisenden Meilenstein mit der erstmaligen Teilnahme an der Watches and Wonders Geneva.</w:t>
      </w:r>
    </w:p>
    <w:p w14:paraId="3B3C7635" w14:textId="77777777" w:rsidR="000920A0" w:rsidRPr="0021084D" w:rsidRDefault="00665ACE" w:rsidP="00B85F99">
      <w:pPr>
        <w:spacing w:after="160"/>
        <w:rPr>
          <w:rFonts w:ascii="Times New Roman" w:eastAsia="Times New Roman" w:hAnsi="Times New Roman" w:cs="Times New Roman"/>
          <w:b/>
          <w:bCs/>
          <w:sz w:val="32"/>
          <w:szCs w:val="32"/>
        </w:rPr>
      </w:pPr>
      <w:r>
        <w:rPr>
          <w:rFonts w:ascii="Times New Roman" w:hAnsi="Times New Roman"/>
          <w:sz w:val="32"/>
        </w:rPr>
        <w:lastRenderedPageBreak/>
        <w:t>Favre Leuba mit Hauptsitz in Grenchen, Schweiz will auch einer neuen Generation von Abenteurern und Uhrenliebhabern außergewöhnliche Wertigkeit und Schweizer Präzision bieten.</w:t>
      </w:r>
    </w:p>
    <w:sectPr w:rsidR="000920A0" w:rsidRPr="0021084D">
      <w:pgSz w:w="12240" w:h="15840"/>
      <w:pgMar w:top="1440" w:right="1440" w:bottom="1134" w:left="1417"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9B7544B9-F174-4D04-ACD6-01E47BC33DB6}"/>
  </w:font>
  <w:font w:name="Angsana New">
    <w:panose1 w:val="02020603050405020304"/>
    <w:charset w:val="DE"/>
    <w:family w:val="roman"/>
    <w:pitch w:val="variable"/>
    <w:sig w:usb0="81000003" w:usb1="00000000" w:usb2="00000000" w:usb3="00000000" w:csb0="00010001" w:csb1="00000000"/>
    <w:embedRegular r:id="rId2" w:fontKey="{54E00C12-5B74-4A64-90FC-27FE168D1DA8}"/>
  </w:font>
  <w:font w:name="Cambria">
    <w:panose1 w:val="02040503050406030204"/>
    <w:charset w:val="00"/>
    <w:family w:val="roman"/>
    <w:pitch w:val="variable"/>
    <w:sig w:usb0="E00006FF" w:usb1="420024FF" w:usb2="02000000" w:usb3="00000000" w:csb0="0000019F" w:csb1="00000000"/>
    <w:embedRegular r:id="rId3" w:fontKey="{2BD6CA4C-A71C-43FA-B572-52E810214529}"/>
  </w:font>
  <w:font w:name="Cordia New">
    <w:panose1 w:val="020B0304020202020204"/>
    <w:charset w:val="DE"/>
    <w:family w:val="swiss"/>
    <w:pitch w:val="variable"/>
    <w:sig w:usb0="81000003" w:usb1="00000000" w:usb2="00000000" w:usb3="00000000" w:csb0="00010001" w:csb1="00000000"/>
    <w:embedRegular r:id="rId4" w:fontKey="{824185B9-CE13-4B61-84F0-6E5BFF416B05}"/>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20A0"/>
    <w:rsid w:val="00003842"/>
    <w:rsid w:val="00061DFC"/>
    <w:rsid w:val="000920A0"/>
    <w:rsid w:val="001761B2"/>
    <w:rsid w:val="0019062B"/>
    <w:rsid w:val="002102DF"/>
    <w:rsid w:val="0021084D"/>
    <w:rsid w:val="00257C3E"/>
    <w:rsid w:val="002D693B"/>
    <w:rsid w:val="003F7C9F"/>
    <w:rsid w:val="005737FF"/>
    <w:rsid w:val="00665ACE"/>
    <w:rsid w:val="00676C20"/>
    <w:rsid w:val="00751BF9"/>
    <w:rsid w:val="007E30F5"/>
    <w:rsid w:val="008347D6"/>
    <w:rsid w:val="008A361C"/>
    <w:rsid w:val="008D75E3"/>
    <w:rsid w:val="00971E55"/>
    <w:rsid w:val="00A00C3E"/>
    <w:rsid w:val="00B70640"/>
    <w:rsid w:val="00B85F99"/>
    <w:rsid w:val="00B969E9"/>
    <w:rsid w:val="00CE097E"/>
    <w:rsid w:val="00E020F8"/>
    <w:rsid w:val="00E11D0D"/>
    <w:rsid w:val="00E52A94"/>
    <w:rsid w:val="00F73EC9"/>
  </w:rsids>
  <m:mathPr>
    <m:mathFont m:val="Cambria Math"/>
    <m:brkBin m:val="before"/>
    <m:brkBinSub m:val="--"/>
    <m:smallFrac m:val="0"/>
    <m:dispDef/>
    <m:lMargin m:val="0"/>
    <m:rMargin m:val="0"/>
    <m:defJc m:val="centerGroup"/>
    <m:wrapIndent m:val="1440"/>
    <m:intLim m:val="subSup"/>
    <m:naryLim m:val="undOvr"/>
  </m:mathPr>
  <w:themeFontLang w:val="fr-CH"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D658EB"/>
  <w15:docId w15:val="{2E5D3194-FE7B-4D7E-972A-069DC6206A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e-DE" w:eastAsia="fr-CH"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CommentReference">
    <w:name w:val="annotation reference"/>
    <w:basedOn w:val="DefaultParagraphFont"/>
    <w:uiPriority w:val="99"/>
    <w:semiHidden/>
    <w:unhideWhenUsed/>
    <w:rsid w:val="007E30F5"/>
    <w:rPr>
      <w:sz w:val="16"/>
      <w:szCs w:val="16"/>
    </w:rPr>
  </w:style>
  <w:style w:type="paragraph" w:styleId="CommentText">
    <w:name w:val="annotation text"/>
    <w:basedOn w:val="Normal"/>
    <w:link w:val="CommentTextChar"/>
    <w:uiPriority w:val="99"/>
    <w:unhideWhenUsed/>
    <w:rsid w:val="007E30F5"/>
    <w:pPr>
      <w:spacing w:line="240" w:lineRule="auto"/>
    </w:pPr>
    <w:rPr>
      <w:sz w:val="20"/>
      <w:szCs w:val="20"/>
    </w:rPr>
  </w:style>
  <w:style w:type="character" w:customStyle="1" w:styleId="CommentTextChar">
    <w:name w:val="Comment Text Char"/>
    <w:basedOn w:val="DefaultParagraphFont"/>
    <w:link w:val="CommentText"/>
    <w:uiPriority w:val="99"/>
    <w:rsid w:val="007E30F5"/>
    <w:rPr>
      <w:sz w:val="20"/>
      <w:szCs w:val="20"/>
    </w:rPr>
  </w:style>
  <w:style w:type="paragraph" w:styleId="CommentSubject">
    <w:name w:val="annotation subject"/>
    <w:basedOn w:val="CommentText"/>
    <w:next w:val="CommentText"/>
    <w:link w:val="CommentSubjectChar"/>
    <w:uiPriority w:val="99"/>
    <w:semiHidden/>
    <w:unhideWhenUsed/>
    <w:rsid w:val="007E30F5"/>
    <w:rPr>
      <w:b/>
      <w:bCs/>
    </w:rPr>
  </w:style>
  <w:style w:type="character" w:customStyle="1" w:styleId="CommentSubjectChar">
    <w:name w:val="Comment Subject Char"/>
    <w:basedOn w:val="CommentTextChar"/>
    <w:link w:val="CommentSubject"/>
    <w:uiPriority w:val="99"/>
    <w:semiHidden/>
    <w:rsid w:val="007E30F5"/>
    <w:rPr>
      <w:b/>
      <w:bCs/>
      <w:sz w:val="20"/>
      <w:szCs w:val="20"/>
    </w:rPr>
  </w:style>
  <w:style w:type="paragraph" w:styleId="Revision">
    <w:name w:val="Revision"/>
    <w:hidden/>
    <w:uiPriority w:val="99"/>
    <w:semiHidden/>
    <w:rsid w:val="0021084D"/>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Cl5AuimAVpaaboh6R0ZBJwP+tw==">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Pages>
  <Words>620</Words>
  <Characters>3540</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Susanne Hurni</dc:creator>
  <cp:lastModifiedBy>Rohit Das</cp:lastModifiedBy>
  <cp:revision>2</cp:revision>
  <dcterms:created xsi:type="dcterms:W3CDTF">2026-06-24T07:56:00Z</dcterms:created>
  <dcterms:modified xsi:type="dcterms:W3CDTF">2026-06-24T07:56:00Z</dcterms:modified>
</cp:coreProperties>
</file>