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4CB3138" w14:textId="77777777" w:rsidR="009F1397" w:rsidRDefault="00000000">
      <w:pPr>
        <w:jc w:val="center"/>
        <w:rPr>
          <w:rFonts w:ascii="Times New Roman" w:eastAsia="Times New Roman" w:hAnsi="Times New Roman" w:cs="Times New Roman"/>
          <w:sz w:val="32"/>
          <w:szCs w:val="32"/>
        </w:rPr>
      </w:pPr>
      <w:r>
        <w:rPr>
          <w:rFonts w:ascii="Times New Roman" w:hAnsi="Times New Roman"/>
          <w:b/>
          <w:noProof/>
          <w:color w:val="FF0000"/>
          <w:sz w:val="32"/>
        </w:rPr>
        <w:drawing>
          <wp:inline distT="114300" distB="114300" distL="114300" distR="114300" wp14:anchorId="4462428A" wp14:editId="089F91EF">
            <wp:extent cx="2990850" cy="1104900"/>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
                    <a:srcRect/>
                    <a:stretch>
                      <a:fillRect/>
                    </a:stretch>
                  </pic:blipFill>
                  <pic:spPr>
                    <a:xfrm>
                      <a:off x="0" y="0"/>
                      <a:ext cx="2990850" cy="1104900"/>
                    </a:xfrm>
                    <a:prstGeom prst="rect">
                      <a:avLst/>
                    </a:prstGeom>
                    <a:ln/>
                  </pic:spPr>
                </pic:pic>
              </a:graphicData>
            </a:graphic>
          </wp:inline>
        </w:drawing>
      </w:r>
    </w:p>
    <w:p w14:paraId="022BE652" w14:textId="58A6D45D" w:rsidR="009F1397" w:rsidRDefault="00000000">
      <w:pPr>
        <w:rPr>
          <w:rFonts w:ascii="Times New Roman" w:eastAsia="Times New Roman" w:hAnsi="Times New Roman" w:cs="Times New Roman"/>
          <w:color w:val="FF0000"/>
          <w:sz w:val="32"/>
          <w:szCs w:val="32"/>
        </w:rPr>
      </w:pPr>
      <w:r>
        <w:rPr>
          <w:rFonts w:ascii="Times New Roman" w:hAnsi="Times New Roman"/>
          <w:b/>
          <w:color w:val="FF0000"/>
          <w:sz w:val="32"/>
        </w:rPr>
        <w:br/>
      </w:r>
      <w:r w:rsidR="00B555DE" w:rsidRPr="00B555DE">
        <w:rPr>
          <w:rFonts w:ascii="Times New Roman" w:hAnsi="Times New Roman"/>
          <w:b/>
          <w:color w:val="FF0000"/>
          <w:sz w:val="32"/>
        </w:rPr>
        <w:t>Sperrfrist: Montag, 3. August 2026 – 18:00 Uhr MEZ</w:t>
      </w:r>
    </w:p>
    <w:p w14:paraId="1AD31D4B" w14:textId="77777777" w:rsidR="00F01C7E" w:rsidRDefault="00F01C7E">
      <w:pPr>
        <w:jc w:val="center"/>
        <w:rPr>
          <w:rFonts w:ascii="Times New Roman" w:hAnsi="Times New Roman"/>
          <w:b/>
          <w:color w:val="000000"/>
          <w:sz w:val="32"/>
        </w:rPr>
      </w:pPr>
      <w:r w:rsidRPr="00F01C7E">
        <w:rPr>
          <w:rFonts w:ascii="Times New Roman" w:hAnsi="Times New Roman"/>
          <w:b/>
          <w:color w:val="000000"/>
          <w:sz w:val="32"/>
        </w:rPr>
        <w:t>Favre Leuba erweitert die Deep Raider Day Date um eine Two-Tone-Ausführung</w:t>
      </w:r>
    </w:p>
    <w:p w14:paraId="5B3339FB" w14:textId="38518FA7" w:rsidR="009F1397" w:rsidRDefault="00000000" w:rsidP="00F01C7E">
      <w:pPr>
        <w:jc w:val="center"/>
        <w:rPr>
          <w:sz w:val="32"/>
          <w:szCs w:val="32"/>
        </w:rPr>
      </w:pPr>
      <w:r>
        <w:rPr>
          <w:noProof/>
          <w:sz w:val="32"/>
        </w:rPr>
        <w:drawing>
          <wp:inline distT="114300" distB="114300" distL="114300" distR="114300" wp14:anchorId="6CAE4394" wp14:editId="74638916">
            <wp:extent cx="1521777" cy="2053868"/>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
                    <a:srcRect/>
                    <a:stretch>
                      <a:fillRect/>
                    </a:stretch>
                  </pic:blipFill>
                  <pic:spPr>
                    <a:xfrm>
                      <a:off x="0" y="0"/>
                      <a:ext cx="1521777" cy="2053868"/>
                    </a:xfrm>
                    <a:prstGeom prst="rect">
                      <a:avLst/>
                    </a:prstGeom>
                    <a:ln/>
                  </pic:spPr>
                </pic:pic>
              </a:graphicData>
            </a:graphic>
          </wp:inline>
        </w:drawing>
      </w:r>
      <w:r>
        <w:rPr>
          <w:noProof/>
          <w:sz w:val="32"/>
        </w:rPr>
        <w:drawing>
          <wp:inline distT="114300" distB="114300" distL="114300" distR="114300" wp14:anchorId="298F08A8" wp14:editId="6F4BCBA7">
            <wp:extent cx="1521777" cy="2053868"/>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
                    <a:srcRect t="80" b="80"/>
                    <a:stretch>
                      <a:fillRect/>
                    </a:stretch>
                  </pic:blipFill>
                  <pic:spPr>
                    <a:xfrm>
                      <a:off x="0" y="0"/>
                      <a:ext cx="1521777" cy="2053868"/>
                    </a:xfrm>
                    <a:prstGeom prst="rect">
                      <a:avLst/>
                    </a:prstGeom>
                    <a:ln/>
                  </pic:spPr>
                </pic:pic>
              </a:graphicData>
            </a:graphic>
          </wp:inline>
        </w:drawing>
      </w:r>
      <w:r>
        <w:rPr>
          <w:noProof/>
          <w:sz w:val="32"/>
        </w:rPr>
        <w:drawing>
          <wp:inline distT="114300" distB="114300" distL="114300" distR="114300" wp14:anchorId="49D0AF77" wp14:editId="65E8545A">
            <wp:extent cx="1521777" cy="2053868"/>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t="80" b="80"/>
                    <a:stretch>
                      <a:fillRect/>
                    </a:stretch>
                  </pic:blipFill>
                  <pic:spPr>
                    <a:xfrm>
                      <a:off x="0" y="0"/>
                      <a:ext cx="1521777" cy="2053868"/>
                    </a:xfrm>
                    <a:prstGeom prst="rect">
                      <a:avLst/>
                    </a:prstGeom>
                    <a:ln/>
                  </pic:spPr>
                </pic:pic>
              </a:graphicData>
            </a:graphic>
          </wp:inline>
        </w:drawing>
      </w:r>
    </w:p>
    <w:p w14:paraId="57443217" w14:textId="327A88A0" w:rsidR="009F1397" w:rsidRDefault="00000000">
      <w:r>
        <w:rPr>
          <w:rFonts w:ascii="Times New Roman" w:hAnsi="Times New Roman"/>
          <w:sz w:val="32"/>
        </w:rPr>
        <w:t>Die kürzlich vorgestellte Deep Raider Day Date festigt die Position der Kollektion als ideale Alltagsuhr mit erweiterter Funktionalität. Waren die Premierenmodelle noch in reinem Edelstahl gefertigt, gewinnt die Serie nun dank der mit Gelbgold-PVD-behandelten Elementen und klassischen Zifferblattfarben veredelte</w:t>
      </w:r>
      <w:r w:rsidR="00901716">
        <w:rPr>
          <w:rFonts w:ascii="Times New Roman" w:hAnsi="Times New Roman"/>
          <w:sz w:val="32"/>
        </w:rPr>
        <w:t xml:space="preserve"> </w:t>
      </w:r>
      <w:r w:rsidR="00F01C7E" w:rsidRPr="00F01C7E">
        <w:rPr>
          <w:rFonts w:ascii="Times New Roman" w:hAnsi="Times New Roman"/>
          <w:sz w:val="32"/>
        </w:rPr>
        <w:t>Deep Raider Day Date im Two-Tone-Design an Vielfalt.</w:t>
      </w:r>
    </w:p>
    <w:p w14:paraId="6E428960" w14:textId="77777777" w:rsidR="009F1397" w:rsidRDefault="009F1397">
      <w:pPr>
        <w:rPr>
          <w:rFonts w:ascii="Times New Roman" w:eastAsia="Times New Roman" w:hAnsi="Times New Roman" w:cs="Times New Roman"/>
          <w:sz w:val="32"/>
          <w:szCs w:val="32"/>
        </w:rPr>
      </w:pPr>
    </w:p>
    <w:p w14:paraId="099D0CBB" w14:textId="77777777" w:rsidR="009F1397" w:rsidRDefault="00000000">
      <w:pPr>
        <w:spacing w:after="240"/>
      </w:pPr>
      <w:r>
        <w:rPr>
          <w:rFonts w:ascii="Times New Roman" w:hAnsi="Times New Roman"/>
          <w:b/>
          <w:sz w:val="32"/>
        </w:rPr>
        <w:t xml:space="preserve">Die Deep Raider Day Date erhält den Midas-Touch </w:t>
      </w:r>
    </w:p>
    <w:p w14:paraId="68FE2824" w14:textId="416CA2EF" w:rsidR="009F1397" w:rsidRDefault="00F01C7E">
      <w:r w:rsidRPr="00F01C7E">
        <w:rPr>
          <w:rFonts w:ascii="Times New Roman" w:hAnsi="Times New Roman"/>
          <w:sz w:val="32"/>
        </w:rPr>
        <w:t>Das Gehäuse der Deep Raider Day Date</w:t>
      </w:r>
      <w:r>
        <w:rPr>
          <w:rFonts w:ascii="Times New Roman" w:hAnsi="Times New Roman"/>
          <w:sz w:val="32"/>
        </w:rPr>
        <w:t xml:space="preserve"> ist aus 316L-Edelstahl gefertigt, verfügt über einen Durchmesser von 40 mm und ist wasserdicht bis 300 Meter (30 ATM). Es besticht durch eine Kombination aus gebürsteten und polierten Oberflächen. Ein markantes Merkmal dieser Edition ist die Gelbgold-Behandlung von Krone und Lünette, die im PVD-Verfahren aufgebracht wird. Selbst die Mittelglieder des integrierten Armbands wurden dieser Behandlung unterzogen, was der Day Date eine besonders glanzvolle Optik verleiht. </w:t>
      </w:r>
    </w:p>
    <w:p w14:paraId="7956CE7B" w14:textId="77777777" w:rsidR="009F1397" w:rsidRDefault="009F1397">
      <w:pPr>
        <w:rPr>
          <w:rFonts w:ascii="Times New Roman" w:eastAsia="Times New Roman" w:hAnsi="Times New Roman" w:cs="Times New Roman"/>
          <w:sz w:val="32"/>
          <w:szCs w:val="32"/>
        </w:rPr>
      </w:pPr>
    </w:p>
    <w:p w14:paraId="123C49FC" w14:textId="77777777" w:rsidR="009F1397" w:rsidRDefault="00000000">
      <w:r>
        <w:rPr>
          <w:rFonts w:ascii="Times New Roman" w:hAnsi="Times New Roman"/>
          <w:sz w:val="32"/>
        </w:rPr>
        <w:t xml:space="preserve">Die einseitig drehbare Lünette verfügt über eine Keramikeinlage mit einer 60-Minuten-Taucherzeitskala. Auch die Markierungen auf der Lünette sind im Gold-Finish gehalten und ergänzen harmonisch die goldenen Akzente des gesamten Zeitmessers. </w:t>
      </w:r>
    </w:p>
    <w:p w14:paraId="2DEF016B" w14:textId="77777777" w:rsidR="009F1397" w:rsidRDefault="009F1397">
      <w:pPr>
        <w:rPr>
          <w:rFonts w:ascii="Times New Roman" w:eastAsia="Times New Roman" w:hAnsi="Times New Roman" w:cs="Times New Roman"/>
          <w:sz w:val="32"/>
          <w:szCs w:val="32"/>
        </w:rPr>
      </w:pPr>
    </w:p>
    <w:p w14:paraId="45163A8A" w14:textId="27247F2F" w:rsidR="009F1397" w:rsidRDefault="00000000">
      <w:pPr>
        <w:rPr>
          <w:rFonts w:ascii="Times New Roman" w:eastAsia="Times New Roman" w:hAnsi="Times New Roman" w:cs="Times New Roman"/>
          <w:sz w:val="32"/>
          <w:szCs w:val="32"/>
        </w:rPr>
      </w:pPr>
      <w:r>
        <w:rPr>
          <w:rFonts w:ascii="Times New Roman" w:hAnsi="Times New Roman"/>
          <w:sz w:val="32"/>
        </w:rPr>
        <w:t xml:space="preserve">Dank der werkzeuglosen Austauschbarkeit des Armbands kann der Träger mühelos </w:t>
      </w:r>
      <w:r w:rsidR="00F01C7E" w:rsidRPr="00F01C7E">
        <w:rPr>
          <w:rFonts w:ascii="Times New Roman" w:hAnsi="Times New Roman"/>
          <w:sz w:val="32"/>
        </w:rPr>
        <w:t>zwischen dem Two-Tone-Armband</w:t>
      </w:r>
      <w:r w:rsidR="00F01C7E">
        <w:rPr>
          <w:rFonts w:ascii="Times New Roman" w:hAnsi="Times New Roman"/>
          <w:sz w:val="32"/>
        </w:rPr>
        <w:t xml:space="preserve"> </w:t>
      </w:r>
      <w:r>
        <w:rPr>
          <w:rFonts w:ascii="Times New Roman" w:hAnsi="Times New Roman"/>
          <w:sz w:val="32"/>
        </w:rPr>
        <w:t xml:space="preserve">und anderen Armbändern oder Kautschukarmbändern der Deep Raider Renaissance Kollektion wechseln. </w:t>
      </w:r>
    </w:p>
    <w:p w14:paraId="00D0A3B7" w14:textId="77777777" w:rsidR="009F1397" w:rsidRDefault="009F1397">
      <w:pPr>
        <w:rPr>
          <w:rFonts w:ascii="Times New Roman" w:eastAsia="Times New Roman" w:hAnsi="Times New Roman" w:cs="Times New Roman"/>
          <w:sz w:val="32"/>
          <w:szCs w:val="32"/>
        </w:rPr>
      </w:pPr>
    </w:p>
    <w:p w14:paraId="5F256651" w14:textId="77777777" w:rsidR="009F1397" w:rsidRDefault="009F1397">
      <w:pPr>
        <w:rPr>
          <w:rFonts w:ascii="Times New Roman" w:eastAsia="Times New Roman" w:hAnsi="Times New Roman" w:cs="Times New Roman"/>
          <w:sz w:val="32"/>
          <w:szCs w:val="32"/>
        </w:rPr>
      </w:pPr>
    </w:p>
    <w:p w14:paraId="38D30C2A" w14:textId="77777777" w:rsidR="009F1397" w:rsidRDefault="00000000">
      <w:pPr>
        <w:rPr>
          <w:rFonts w:ascii="Times New Roman" w:eastAsia="Times New Roman" w:hAnsi="Times New Roman" w:cs="Times New Roman"/>
          <w:sz w:val="32"/>
          <w:szCs w:val="32"/>
        </w:rPr>
      </w:pPr>
      <w:bookmarkStart w:id="0" w:name="_heading=h.ysovbt240cew"/>
      <w:bookmarkEnd w:id="0"/>
      <w:r>
        <w:rPr>
          <w:rFonts w:ascii="Times New Roman" w:hAnsi="Times New Roman"/>
          <w:b/>
          <w:sz w:val="32"/>
        </w:rPr>
        <w:t>Klassische Zifferblätter gepaart mit goldenen Akzenten</w:t>
      </w:r>
    </w:p>
    <w:p w14:paraId="13868B4A" w14:textId="77777777" w:rsidR="009F1397" w:rsidRDefault="009F1397">
      <w:pPr>
        <w:rPr>
          <w:rFonts w:ascii="Times New Roman" w:eastAsia="Times New Roman" w:hAnsi="Times New Roman" w:cs="Times New Roman"/>
          <w:sz w:val="32"/>
          <w:szCs w:val="32"/>
        </w:rPr>
      </w:pPr>
    </w:p>
    <w:p w14:paraId="2B9A5C2B" w14:textId="2CB39A57" w:rsidR="009F1397" w:rsidRDefault="00F01C7E">
      <w:pPr>
        <w:rPr>
          <w:rFonts w:ascii="Times New Roman" w:eastAsia="Times New Roman" w:hAnsi="Times New Roman" w:cs="Times New Roman"/>
          <w:sz w:val="32"/>
          <w:szCs w:val="32"/>
        </w:rPr>
      </w:pPr>
      <w:r w:rsidRPr="00F01C7E">
        <w:rPr>
          <w:rFonts w:ascii="Times New Roman" w:hAnsi="Times New Roman"/>
          <w:sz w:val="32"/>
        </w:rPr>
        <w:t>Die neue Deep Raider Day Date</w:t>
      </w:r>
      <w:r>
        <w:rPr>
          <w:rFonts w:ascii="Times New Roman" w:hAnsi="Times New Roman"/>
          <w:sz w:val="32"/>
        </w:rPr>
        <w:t xml:space="preserve"> ist in drei Zifferblattvarianten erhältlich: Blau und Grün mit markantem Gradient-Finish sowie in klassischem, sattem Schwarz. Der Farbverlauf bei den blauen und grünen Modellen geht zum Rand hin in dunklere Nuancen über, was dem Zifferblatt eine besondere Tiefe verleiht. </w:t>
      </w:r>
      <w:r w:rsidRPr="00F01C7E">
        <w:rPr>
          <w:rFonts w:ascii="Times New Roman" w:hAnsi="Times New Roman"/>
          <w:sz w:val="32"/>
        </w:rPr>
        <w:t>Für die starke visuelle Präsenz der Two-Tone</w:t>
      </w:r>
      <w:r>
        <w:rPr>
          <w:rFonts w:ascii="Times New Roman" w:hAnsi="Times New Roman"/>
          <w:sz w:val="32"/>
        </w:rPr>
        <w:t>-</w:t>
      </w:r>
      <w:r w:rsidRPr="00F01C7E">
        <w:rPr>
          <w:rFonts w:ascii="Times New Roman" w:hAnsi="Times New Roman"/>
          <w:sz w:val="32"/>
        </w:rPr>
        <w:t>Modelle</w:t>
      </w:r>
      <w:r>
        <w:rPr>
          <w:rFonts w:ascii="Times New Roman" w:hAnsi="Times New Roman"/>
          <w:sz w:val="32"/>
        </w:rPr>
        <w:t xml:space="preserve"> sorgen die goldbehandelten Details, darunter die zentralen Stunden-, Minuten- und Sekundenzeiger sowie das markante Favre Leuba Sanduhr-Emblem bei sechs Uhr. </w:t>
      </w:r>
    </w:p>
    <w:p w14:paraId="5BCE9FA2" w14:textId="77777777" w:rsidR="009F1397" w:rsidRDefault="009F1397">
      <w:pPr>
        <w:rPr>
          <w:rFonts w:ascii="Times New Roman" w:eastAsia="Times New Roman" w:hAnsi="Times New Roman" w:cs="Times New Roman"/>
          <w:sz w:val="32"/>
          <w:szCs w:val="32"/>
        </w:rPr>
      </w:pPr>
    </w:p>
    <w:p w14:paraId="20CEE4AB" w14:textId="77777777" w:rsidR="009F1397" w:rsidRDefault="00000000">
      <w:pPr>
        <w:rPr>
          <w:rFonts w:ascii="Times New Roman" w:eastAsia="Times New Roman" w:hAnsi="Times New Roman" w:cs="Times New Roman"/>
          <w:sz w:val="32"/>
          <w:szCs w:val="32"/>
        </w:rPr>
      </w:pPr>
      <w:r>
        <w:rPr>
          <w:rFonts w:ascii="Times New Roman" w:hAnsi="Times New Roman"/>
          <w:sz w:val="32"/>
        </w:rPr>
        <w:t>Als Verbindung von Ästhetik und Funktion sind die Zifferblätter in Sandwich-Bauweise gefertigt; eine Basisschicht aus Leuchtmasse garantiert dabei eine helle und konstante Ablesbarkeit bei schlechten Lichtverhältnissen.</w:t>
      </w:r>
    </w:p>
    <w:p w14:paraId="3C272D4B" w14:textId="77777777" w:rsidR="009F1397" w:rsidRDefault="009F1397">
      <w:pPr>
        <w:rPr>
          <w:rFonts w:ascii="Times New Roman" w:eastAsia="Times New Roman" w:hAnsi="Times New Roman" w:cs="Times New Roman"/>
          <w:sz w:val="32"/>
          <w:szCs w:val="32"/>
        </w:rPr>
      </w:pPr>
    </w:p>
    <w:p w14:paraId="4601606D" w14:textId="77777777" w:rsidR="009F1397" w:rsidRDefault="00000000">
      <w:pPr>
        <w:rPr>
          <w:rFonts w:ascii="Times New Roman" w:eastAsia="Times New Roman" w:hAnsi="Times New Roman" w:cs="Times New Roman"/>
          <w:sz w:val="32"/>
          <w:szCs w:val="32"/>
        </w:rPr>
      </w:pPr>
      <w:r>
        <w:rPr>
          <w:rFonts w:ascii="Times New Roman" w:hAnsi="Times New Roman"/>
          <w:sz w:val="32"/>
        </w:rPr>
        <w:t>Bewährte Elemente wie die länglichen Stundenindizes sowie das Tag- und Datumsfenster bei drei Uhr wurden von der vorherigen Deep Raider Day Date Edition übernommen.</w:t>
      </w:r>
    </w:p>
    <w:p w14:paraId="3DDD08B2" w14:textId="77777777" w:rsidR="009F1397" w:rsidRDefault="00000000">
      <w:pPr>
        <w:pStyle w:val="Heading2"/>
        <w:keepNext w:val="0"/>
        <w:spacing w:after="0"/>
      </w:pPr>
      <w:bookmarkStart w:id="1" w:name="_heading=h.kllrnp3wi0lb"/>
      <w:bookmarkEnd w:id="1"/>
      <w:r>
        <w:rPr>
          <w:rFonts w:ascii="Times New Roman" w:hAnsi="Times New Roman"/>
          <w:b/>
        </w:rPr>
        <w:t>Die Funktionsweise der Deep Raider Day Date</w:t>
      </w:r>
    </w:p>
    <w:p w14:paraId="63A358FF" w14:textId="77777777" w:rsidR="009F1397" w:rsidRDefault="009F1397">
      <w:pPr>
        <w:rPr>
          <w:rFonts w:ascii="Times New Roman" w:eastAsia="Times New Roman" w:hAnsi="Times New Roman" w:cs="Times New Roman"/>
          <w:sz w:val="32"/>
          <w:szCs w:val="32"/>
        </w:rPr>
      </w:pPr>
    </w:p>
    <w:p w14:paraId="0C9A21A8" w14:textId="77777777" w:rsidR="009F1397" w:rsidRDefault="00000000">
      <w:pPr>
        <w:spacing w:after="240"/>
      </w:pPr>
      <w:r>
        <w:rPr>
          <w:rFonts w:ascii="Times New Roman" w:hAnsi="Times New Roman"/>
          <w:sz w:val="32"/>
        </w:rPr>
        <w:t xml:space="preserve">Herzstück der Deep Raider Day Date ist das Automatikwerk FLD05 mit einer Frequenz von 28.800 Halbschwingungen pro Stunde. </w:t>
      </w:r>
    </w:p>
    <w:p w14:paraId="1009D68B" w14:textId="77777777" w:rsidR="009F1397" w:rsidRDefault="00000000">
      <w:r>
        <w:rPr>
          <w:rFonts w:ascii="Times New Roman" w:hAnsi="Times New Roman"/>
          <w:sz w:val="32"/>
        </w:rPr>
        <w:t xml:space="preserve">Durch Drehen der Krone im Uhrzeigersinn wird das Datum eingestellt, während das Drehen gegen den Uhrzeigersinn die Korrektur der Tagesanzeige ermöglicht. Bei der Tagesanzeige kann zwischen Englisch und Deutsch gewählt werden; diese Einstellung behält das Werk zuverlässig bei. </w:t>
      </w:r>
    </w:p>
    <w:p w14:paraId="647841EC" w14:textId="77777777" w:rsidR="009F1397" w:rsidRDefault="009F1397">
      <w:pPr>
        <w:rPr>
          <w:rFonts w:ascii="Times New Roman" w:eastAsia="Times New Roman" w:hAnsi="Times New Roman" w:cs="Times New Roman"/>
          <w:sz w:val="32"/>
          <w:szCs w:val="32"/>
        </w:rPr>
      </w:pPr>
    </w:p>
    <w:p w14:paraId="7485FA1C" w14:textId="77777777" w:rsidR="009F1397" w:rsidRDefault="00000000">
      <w:pPr>
        <w:rPr>
          <w:rFonts w:ascii="Times New Roman" w:eastAsia="Times New Roman" w:hAnsi="Times New Roman" w:cs="Times New Roman"/>
          <w:b/>
          <w:bCs/>
          <w:sz w:val="32"/>
          <w:szCs w:val="32"/>
        </w:rPr>
      </w:pPr>
      <w:r>
        <w:rPr>
          <w:rFonts w:ascii="Times New Roman" w:hAnsi="Times New Roman"/>
          <w:b/>
          <w:sz w:val="32"/>
        </w:rPr>
        <w:t>Die Deep Raider Kollektion wächst</w:t>
      </w:r>
    </w:p>
    <w:p w14:paraId="52D8FC48" w14:textId="77777777" w:rsidR="009F1397" w:rsidRDefault="00000000">
      <w:pPr>
        <w:spacing w:before="240"/>
        <w:rPr>
          <w:rFonts w:ascii="Times New Roman" w:eastAsia="Times New Roman" w:hAnsi="Times New Roman" w:cs="Times New Roman"/>
          <w:sz w:val="32"/>
          <w:szCs w:val="32"/>
        </w:rPr>
      </w:pPr>
      <w:r>
        <w:rPr>
          <w:rFonts w:ascii="Times New Roman" w:hAnsi="Times New Roman"/>
          <w:sz w:val="32"/>
        </w:rPr>
        <w:t xml:space="preserve">Die Deep Raider Kollektion wurzelt im Jahr 1964, als Favre Leuba mit der Deep Blue eine robuste Taucheruhr einführte, die den Grundstein für die modernen Taucherzeitmesser der Marke legte. Im Jahr 2024 erfolgte die Neuauflage unter dem Namen Deep Raider Revival. </w:t>
      </w:r>
    </w:p>
    <w:p w14:paraId="69533696" w14:textId="4ABF7AC7" w:rsidR="009F1397" w:rsidRDefault="00000000">
      <w:pPr>
        <w:spacing w:before="240"/>
        <w:rPr>
          <w:rFonts w:ascii="Times New Roman" w:eastAsia="Times New Roman" w:hAnsi="Times New Roman" w:cs="Times New Roman"/>
          <w:strike/>
          <w:sz w:val="32"/>
          <w:szCs w:val="32"/>
        </w:rPr>
      </w:pPr>
      <w:r>
        <w:rPr>
          <w:rFonts w:ascii="Times New Roman" w:hAnsi="Times New Roman"/>
          <w:sz w:val="32"/>
        </w:rPr>
        <w:t xml:space="preserve">Die Renaissance-Linie wurde 2025 um exklusive Steinzifferblätter aus Malachit und Meteorit erweitert. In diesem Jahr wurde die Kollektion durch die Einführung der Gangreserve und der Day Date Edition weiter ausgebaut, </w:t>
      </w:r>
      <w:r w:rsidR="00F01C7E" w:rsidRPr="00F01C7E">
        <w:rPr>
          <w:rFonts w:ascii="Times New Roman" w:hAnsi="Times New Roman"/>
          <w:sz w:val="32"/>
        </w:rPr>
        <w:t>die nun durch die neuen Two-Tone-Modelle weiter ergänzt wird.</w:t>
      </w:r>
    </w:p>
    <w:p w14:paraId="38620FEE" w14:textId="73D70E20" w:rsidR="009F1397" w:rsidRDefault="00000000">
      <w:pPr>
        <w:pBdr>
          <w:bottom w:val="single" w:sz="12" w:space="1" w:color="000000"/>
        </w:pBdr>
        <w:spacing w:before="240"/>
        <w:rPr>
          <w:rFonts w:ascii="Times New Roman" w:eastAsia="Times New Roman" w:hAnsi="Times New Roman" w:cs="Times New Roman"/>
          <w:sz w:val="32"/>
          <w:szCs w:val="32"/>
        </w:rPr>
      </w:pPr>
      <w:r>
        <w:rPr>
          <w:rFonts w:ascii="Times New Roman" w:hAnsi="Times New Roman"/>
          <w:sz w:val="32"/>
        </w:rPr>
        <w:t xml:space="preserve">Die unverbindliche Preisempfehlung der Day Date liegt bei: </w:t>
      </w:r>
      <w:hyperlink r:id="rId9" w:history="1">
        <w:r w:rsidR="00122C7E" w:rsidRPr="00580CFC">
          <w:rPr>
            <w:rStyle w:val="Hyperlink"/>
            <w:rFonts w:ascii="Times New Roman" w:hAnsi="Times New Roman"/>
            <w:sz w:val="32"/>
          </w:rPr>
          <w:t>marketing@favreleuba.com</w:t>
        </w:r>
      </w:hyperlink>
      <w:r w:rsidR="00122C7E">
        <w:rPr>
          <w:rFonts w:ascii="Times New Roman" w:hAnsi="Times New Roman"/>
          <w:sz w:val="32"/>
        </w:rPr>
        <w:t xml:space="preserve"> </w:t>
      </w:r>
    </w:p>
    <w:p w14:paraId="07B4F56E" w14:textId="5EDDC775" w:rsidR="009F1397" w:rsidRPr="007D58F1" w:rsidRDefault="007D58F1" w:rsidP="007D58F1">
      <w:pPr>
        <w:pBdr>
          <w:bottom w:val="single" w:sz="12" w:space="1" w:color="000000"/>
        </w:pBdr>
        <w:spacing w:before="240"/>
      </w:pPr>
      <w:r>
        <w:t>2’100 CHF</w:t>
      </w:r>
      <w:r>
        <w:br/>
        <w:t xml:space="preserve">2,100 GBP </w:t>
      </w:r>
      <w:r>
        <w:br/>
        <w:t>2,450 EUR</w:t>
      </w:r>
      <w:r>
        <w:br/>
        <w:t>2,700 USD</w:t>
      </w:r>
      <w:r>
        <w:rPr>
          <w:rFonts w:ascii="Times New Roman" w:hAnsi="Times New Roman"/>
          <w:strike/>
          <w:sz w:val="32"/>
        </w:rPr>
        <w:br/>
      </w:r>
    </w:p>
    <w:p w14:paraId="44381F5A" w14:textId="77777777" w:rsidR="009F1397" w:rsidRDefault="009F1397">
      <w:pPr>
        <w:spacing w:before="240"/>
        <w:rPr>
          <w:rFonts w:ascii="Times New Roman" w:eastAsia="Times New Roman" w:hAnsi="Times New Roman" w:cs="Times New Roman"/>
          <w:sz w:val="32"/>
          <w:szCs w:val="32"/>
        </w:rPr>
      </w:pPr>
    </w:p>
    <w:p w14:paraId="3817A7D9" w14:textId="77777777" w:rsidR="009F1397" w:rsidRDefault="00000000">
      <w:pPr>
        <w:pStyle w:val="Heading1"/>
        <w:keepNext w:val="0"/>
        <w:keepLines w:val="0"/>
        <w:spacing w:before="0" w:after="0"/>
        <w:rPr>
          <w:rFonts w:ascii="Times New Roman" w:eastAsia="Times New Roman" w:hAnsi="Times New Roman" w:cs="Times New Roman"/>
          <w:b/>
          <w:bCs/>
          <w:sz w:val="32"/>
          <w:szCs w:val="32"/>
        </w:rPr>
      </w:pPr>
      <w:r>
        <w:rPr>
          <w:rFonts w:ascii="Times New Roman" w:hAnsi="Times New Roman"/>
          <w:b/>
          <w:sz w:val="32"/>
        </w:rPr>
        <w:t>Technische Spezifikationen</w:t>
      </w:r>
    </w:p>
    <w:p w14:paraId="7E8EF5BD" w14:textId="77777777" w:rsidR="009F1397" w:rsidRDefault="009F1397">
      <w:pPr>
        <w:rPr>
          <w:rFonts w:ascii="Times New Roman" w:eastAsia="Times New Roman" w:hAnsi="Times New Roman" w:cs="Times New Roman"/>
          <w:sz w:val="32"/>
          <w:szCs w:val="32"/>
        </w:rPr>
      </w:pPr>
    </w:p>
    <w:p w14:paraId="4D763F8E" w14:textId="77777777" w:rsidR="009F1397" w:rsidRDefault="00000000">
      <w:pPr>
        <w:pStyle w:val="Heading1"/>
        <w:keepNext w:val="0"/>
        <w:spacing w:before="0" w:after="0"/>
        <w:ind w:left="2160" w:hanging="2160"/>
      </w:pPr>
      <w:r>
        <w:rPr>
          <w:rFonts w:ascii="Times New Roman" w:hAnsi="Times New Roman"/>
          <w:b/>
          <w:color w:val="1D1D1D"/>
          <w:sz w:val="32"/>
        </w:rPr>
        <w:lastRenderedPageBreak/>
        <w:t>Gehäuse:                </w:t>
      </w:r>
      <w:proofErr w:type="gramStart"/>
      <w:r>
        <w:rPr>
          <w:rFonts w:ascii="Times New Roman" w:hAnsi="Times New Roman"/>
          <w:b/>
          <w:color w:val="1D1D1D"/>
          <w:sz w:val="32"/>
        </w:rPr>
        <w:t>  :</w:t>
      </w:r>
      <w:proofErr w:type="gramEnd"/>
      <w:r>
        <w:rPr>
          <w:rFonts w:ascii="Times New Roman" w:hAnsi="Times New Roman"/>
          <w:b/>
          <w:color w:val="1D1D1D"/>
          <w:sz w:val="32"/>
        </w:rPr>
        <w:t xml:space="preserve"> </w:t>
      </w:r>
      <w:r>
        <w:rPr>
          <w:rFonts w:ascii="Times New Roman" w:hAnsi="Times New Roman"/>
          <w:color w:val="1D1D1D"/>
          <w:sz w:val="32"/>
        </w:rPr>
        <w:t>Rundgehäuse aus Edelstahl mit gebürsteten und polierten Oberflächen, Lünette und Krone mit Gelbgold-PVD-Beschichtung, wasserdicht bis 30 ATM; doppelt gewölbtes Saphirglas mit Antireflexbeschichtung; geschlossener, chemisch gravierter Gehäuseboden mit Sanduhr-Emblem und Wellenmuster</w:t>
      </w:r>
    </w:p>
    <w:p w14:paraId="4C711A01" w14:textId="77777777" w:rsidR="009F1397" w:rsidRDefault="009F1397">
      <w:pPr>
        <w:rPr>
          <w:sz w:val="32"/>
          <w:szCs w:val="32"/>
        </w:rPr>
      </w:pPr>
    </w:p>
    <w:p w14:paraId="29FF7606" w14:textId="77777777" w:rsidR="009F1397" w:rsidRDefault="00000000">
      <w:pPr>
        <w:pStyle w:val="Heading1"/>
        <w:keepNext w:val="0"/>
        <w:spacing w:before="0" w:after="0"/>
        <w:ind w:left="1700" w:hanging="1700"/>
      </w:pPr>
      <w:bookmarkStart w:id="2" w:name="_heading=h.2zeuur821qz7"/>
      <w:bookmarkEnd w:id="2"/>
      <w:r>
        <w:rPr>
          <w:rFonts w:ascii="Times New Roman" w:hAnsi="Times New Roman"/>
          <w:b/>
          <w:color w:val="1D1D1D"/>
          <w:sz w:val="32"/>
        </w:rPr>
        <w:t>Durchmesser:</w:t>
      </w:r>
      <w:r>
        <w:rPr>
          <w:rFonts w:ascii="Times New Roman" w:hAnsi="Times New Roman"/>
          <w:color w:val="1D1D1D"/>
          <w:sz w:val="32"/>
        </w:rPr>
        <w:t xml:space="preserve"> 40 mm; 48,2 mm Horn zu Horn</w:t>
      </w:r>
    </w:p>
    <w:p w14:paraId="485F9FF7"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1788B421" w14:textId="77777777" w:rsidR="009F1397" w:rsidRDefault="00000000">
      <w:pPr>
        <w:pStyle w:val="Heading1"/>
        <w:keepNext w:val="0"/>
        <w:spacing w:before="0" w:after="0"/>
        <w:ind w:left="1700" w:hanging="1700"/>
      </w:pPr>
      <w:bookmarkStart w:id="3" w:name="_heading=h.622p33svvkpl"/>
      <w:bookmarkEnd w:id="3"/>
      <w:r>
        <w:rPr>
          <w:rFonts w:ascii="Times New Roman" w:hAnsi="Times New Roman"/>
          <w:b/>
          <w:color w:val="1D1D1D"/>
          <w:sz w:val="32"/>
        </w:rPr>
        <w:t xml:space="preserve">Höhe: </w:t>
      </w:r>
      <w:r>
        <w:rPr>
          <w:rFonts w:ascii="Times New Roman" w:hAnsi="Times New Roman"/>
          <w:color w:val="1D1D1D"/>
          <w:sz w:val="32"/>
        </w:rPr>
        <w:t>12,5 mm</w:t>
      </w:r>
    </w:p>
    <w:p w14:paraId="727310F4"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435E5EF8" w14:textId="77777777" w:rsidR="009F1397" w:rsidRDefault="00000000">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 xml:space="preserve">Uhrwerk: </w:t>
      </w:r>
      <w:r>
        <w:rPr>
          <w:rFonts w:ascii="Times New Roman" w:hAnsi="Times New Roman"/>
          <w:color w:val="1D1D1D"/>
          <w:sz w:val="32"/>
        </w:rPr>
        <w:t xml:space="preserve">FLD05 (basierend auf </w:t>
      </w:r>
      <w:proofErr w:type="spellStart"/>
      <w:r>
        <w:rPr>
          <w:rFonts w:ascii="Times New Roman" w:hAnsi="Times New Roman"/>
          <w:color w:val="1D1D1D"/>
          <w:sz w:val="32"/>
        </w:rPr>
        <w:t>Sellita</w:t>
      </w:r>
      <w:proofErr w:type="spellEnd"/>
      <w:r>
        <w:rPr>
          <w:rFonts w:ascii="Times New Roman" w:hAnsi="Times New Roman"/>
          <w:color w:val="1D1D1D"/>
          <w:sz w:val="32"/>
        </w:rPr>
        <w:t xml:space="preserve"> SW-220-1) </w:t>
      </w:r>
    </w:p>
    <w:p w14:paraId="166E3360" w14:textId="77777777" w:rsidR="009F1397"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4" w:name="_heading=h.klir1ixksdek"/>
      <w:bookmarkEnd w:id="4"/>
      <w:r>
        <w:rPr>
          <w:rFonts w:ascii="Times New Roman" w:hAnsi="Times New Roman"/>
          <w:color w:val="1D1D1D"/>
          <w:sz w:val="32"/>
        </w:rPr>
        <w:t xml:space="preserve">  Automatikaufzug, 38-Stunden-Gangreserve </w:t>
      </w:r>
    </w:p>
    <w:p w14:paraId="1CB5B734" w14:textId="77777777" w:rsidR="009F1397"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5" w:name="_heading=h.t4ca0gk3nvsr"/>
      <w:bookmarkEnd w:id="5"/>
      <w:r>
        <w:rPr>
          <w:rFonts w:ascii="Times New Roman" w:hAnsi="Times New Roman"/>
          <w:color w:val="1D1D1D"/>
          <w:sz w:val="32"/>
        </w:rPr>
        <w:t xml:space="preserve">  28.800 Halbschwingungen pro Stunde (4 Hz)</w:t>
      </w:r>
    </w:p>
    <w:p w14:paraId="02420AC1" w14:textId="77777777" w:rsidR="009F1397" w:rsidRDefault="00000000">
      <w:pPr>
        <w:pStyle w:val="Heading1"/>
        <w:keepNext w:val="0"/>
        <w:keepLines w:val="0"/>
        <w:spacing w:before="0" w:after="0"/>
        <w:ind w:left="2160"/>
        <w:rPr>
          <w:rFonts w:ascii="Times New Roman" w:eastAsia="Times New Roman" w:hAnsi="Times New Roman" w:cs="Times New Roman"/>
          <w:color w:val="1D1D1D"/>
          <w:sz w:val="32"/>
          <w:szCs w:val="32"/>
        </w:rPr>
      </w:pPr>
      <w:bookmarkStart w:id="6" w:name="_heading=h.2l3om3672r1m"/>
      <w:bookmarkEnd w:id="6"/>
      <w:r>
        <w:rPr>
          <w:rFonts w:ascii="Times New Roman" w:hAnsi="Times New Roman"/>
          <w:color w:val="1D1D1D"/>
          <w:sz w:val="32"/>
        </w:rPr>
        <w:t xml:space="preserve">  26 Lagersteine </w:t>
      </w:r>
    </w:p>
    <w:p w14:paraId="3AA33ED1"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7" w:name="_heading=h.be8c9p69fos5"/>
      <w:bookmarkEnd w:id="7"/>
    </w:p>
    <w:p w14:paraId="23ADB451" w14:textId="77777777" w:rsidR="009F1397" w:rsidRDefault="00000000">
      <w:pPr>
        <w:pStyle w:val="Heading1"/>
        <w:keepNext w:val="0"/>
        <w:keepLines w:val="0"/>
        <w:spacing w:before="0" w:after="0"/>
        <w:ind w:left="1700" w:hanging="1700"/>
        <w:rPr>
          <w:rFonts w:ascii="Times New Roman" w:eastAsia="Times New Roman" w:hAnsi="Times New Roman" w:cs="Times New Roman"/>
          <w:color w:val="1D1D1D"/>
          <w:sz w:val="32"/>
          <w:szCs w:val="32"/>
        </w:rPr>
      </w:pPr>
      <w:r>
        <w:rPr>
          <w:rFonts w:ascii="Times New Roman" w:hAnsi="Times New Roman"/>
          <w:b/>
          <w:color w:val="1D1D1D"/>
          <w:sz w:val="32"/>
        </w:rPr>
        <w:t xml:space="preserve">Funktionen: </w:t>
      </w:r>
      <w:r>
        <w:rPr>
          <w:rFonts w:ascii="Times New Roman" w:hAnsi="Times New Roman"/>
          <w:color w:val="1D1D1D"/>
          <w:sz w:val="32"/>
        </w:rPr>
        <w:t xml:space="preserve">Stunden, Minuten, Sekunden, Tages- und Datumsanzeigen </w:t>
      </w:r>
    </w:p>
    <w:p w14:paraId="59EB507B"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bookmarkStart w:id="8" w:name="_heading=h.75nmu2ja4wgp"/>
      <w:bookmarkEnd w:id="8"/>
    </w:p>
    <w:p w14:paraId="337B5C58" w14:textId="77777777" w:rsidR="009F1397" w:rsidRDefault="00000000">
      <w:pPr>
        <w:pStyle w:val="Heading1"/>
        <w:keepNext w:val="0"/>
        <w:spacing w:before="0" w:after="0"/>
        <w:ind w:left="2160" w:hanging="2160"/>
      </w:pPr>
      <w:bookmarkStart w:id="9" w:name="_heading=h.hckpe48l0a28"/>
      <w:bookmarkEnd w:id="9"/>
      <w:r>
        <w:rPr>
          <w:rFonts w:ascii="Times New Roman" w:hAnsi="Times New Roman"/>
          <w:b/>
          <w:color w:val="1D1D1D"/>
          <w:sz w:val="32"/>
        </w:rPr>
        <w:t>Zifferblatt:</w:t>
      </w:r>
      <w:r>
        <w:rPr>
          <w:rFonts w:ascii="Times New Roman" w:hAnsi="Times New Roman"/>
          <w:color w:val="1D1D1D"/>
          <w:sz w:val="32"/>
        </w:rPr>
        <w:t xml:space="preserve"> In Schwarz, Blau oder Grün, mit goldbeschichteten Elementen sowie Tages- und Datumsanzeige bei 3 Uhr. Zweiteilige Sandwich-Konstruktion, die vertiefte, längliche Indizes freigibt. Indizes und goldene PVD-Beschichtung der Zeiger mit Super-</w:t>
      </w:r>
      <w:proofErr w:type="spellStart"/>
      <w:r>
        <w:rPr>
          <w:rFonts w:ascii="Times New Roman" w:hAnsi="Times New Roman"/>
          <w:color w:val="1D1D1D"/>
          <w:sz w:val="32"/>
        </w:rPr>
        <w:t>LumiNova</w:t>
      </w:r>
      <w:proofErr w:type="spellEnd"/>
      <w:r>
        <w:rPr>
          <w:rFonts w:ascii="Times New Roman" w:hAnsi="Times New Roman"/>
          <w:color w:val="1D1D1D"/>
          <w:sz w:val="32"/>
          <w:vertAlign w:val="superscript"/>
        </w:rPr>
        <w:t>®</w:t>
      </w:r>
      <w:r>
        <w:rPr>
          <w:rFonts w:ascii="Times New Roman" w:hAnsi="Times New Roman"/>
          <w:color w:val="1D1D1D"/>
          <w:sz w:val="32"/>
        </w:rPr>
        <w:t xml:space="preserve"> C1 X1 (blaue Emission)</w:t>
      </w:r>
    </w:p>
    <w:p w14:paraId="1E9277C2" w14:textId="77777777" w:rsidR="009F1397" w:rsidRDefault="009F1397">
      <w:pPr>
        <w:pStyle w:val="Heading1"/>
        <w:keepNext w:val="0"/>
        <w:keepLines w:val="0"/>
        <w:spacing w:before="0" w:after="0"/>
        <w:ind w:left="1700" w:hanging="1700"/>
        <w:rPr>
          <w:rFonts w:ascii="Times New Roman" w:eastAsia="Times New Roman" w:hAnsi="Times New Roman" w:cs="Times New Roman"/>
          <w:b/>
          <w:bCs/>
          <w:color w:val="1D1D1D"/>
          <w:sz w:val="32"/>
          <w:szCs w:val="32"/>
        </w:rPr>
      </w:pPr>
    </w:p>
    <w:p w14:paraId="74091481" w14:textId="77777777" w:rsidR="009F1397" w:rsidRDefault="00000000">
      <w:pPr>
        <w:pStyle w:val="Heading1"/>
        <w:keepNext w:val="0"/>
        <w:keepLines w:val="0"/>
        <w:spacing w:before="0" w:after="0"/>
        <w:ind w:left="2160" w:hanging="2160"/>
        <w:rPr>
          <w:rFonts w:ascii="Times New Roman" w:eastAsia="Times New Roman" w:hAnsi="Times New Roman" w:cs="Times New Roman"/>
          <w:color w:val="1D1D1D"/>
          <w:sz w:val="32"/>
          <w:szCs w:val="32"/>
        </w:rPr>
      </w:pPr>
      <w:bookmarkStart w:id="10" w:name="_heading=h.eyp1fmozcoj0"/>
      <w:bookmarkEnd w:id="10"/>
      <w:r>
        <w:rPr>
          <w:rFonts w:ascii="Times New Roman" w:hAnsi="Times New Roman"/>
          <w:b/>
          <w:color w:val="1D1D1D"/>
          <w:sz w:val="32"/>
        </w:rPr>
        <w:t xml:space="preserve">Armband: </w:t>
      </w:r>
      <w:r>
        <w:rPr>
          <w:rFonts w:ascii="Times New Roman" w:hAnsi="Times New Roman"/>
          <w:color w:val="1D1D1D"/>
          <w:sz w:val="32"/>
        </w:rPr>
        <w:t xml:space="preserve">Integriertes dreigliedriges Armband aus gebürstetem und poliertem Stahl mit Gelbgold-PVD-beschichteten Mittelgliedern und einer Faltschließe; leicht austauschbar gegen ein anderes Armband oder ein Kautschukband </w:t>
      </w:r>
    </w:p>
    <w:p w14:paraId="1B64A090" w14:textId="77777777" w:rsidR="009F1397" w:rsidRDefault="009F1397">
      <w:pPr>
        <w:rPr>
          <w:rFonts w:ascii="Times New Roman" w:eastAsia="Times New Roman" w:hAnsi="Times New Roman" w:cs="Times New Roman"/>
          <w:sz w:val="32"/>
          <w:szCs w:val="32"/>
        </w:rPr>
      </w:pPr>
    </w:p>
    <w:p w14:paraId="7E7065FD" w14:textId="77777777" w:rsidR="009F1397" w:rsidRDefault="009F1397">
      <w:pPr>
        <w:rPr>
          <w:rFonts w:ascii="Times New Roman" w:eastAsia="Times New Roman" w:hAnsi="Times New Roman" w:cs="Times New Roman"/>
          <w:sz w:val="32"/>
          <w:szCs w:val="32"/>
        </w:rPr>
      </w:pPr>
    </w:p>
    <w:p w14:paraId="39058529" w14:textId="77777777" w:rsidR="009F1397" w:rsidRDefault="00000000">
      <w:r>
        <w:rPr>
          <w:rFonts w:ascii="Times New Roman" w:hAnsi="Times New Roman"/>
          <w:sz w:val="32"/>
        </w:rPr>
        <w:lastRenderedPageBreak/>
        <w:t xml:space="preserve">Für Presseanfragen kontaktieren Sie bitte: </w:t>
      </w:r>
    </w:p>
    <w:p w14:paraId="1333C6E7" w14:textId="77777777" w:rsidR="009F1397" w:rsidRDefault="009F1397">
      <w:pPr>
        <w:rPr>
          <w:rFonts w:ascii="Times New Roman" w:eastAsia="Times New Roman" w:hAnsi="Times New Roman" w:cs="Times New Roman"/>
          <w:b/>
          <w:bCs/>
          <w:sz w:val="32"/>
          <w:szCs w:val="32"/>
        </w:rPr>
      </w:pPr>
    </w:p>
    <w:p w14:paraId="2C1F558D" w14:textId="77777777" w:rsidR="007D58F1" w:rsidRPr="007D58F1" w:rsidRDefault="007D58F1" w:rsidP="007D58F1">
      <w:pPr>
        <w:rPr>
          <w:rFonts w:ascii="Times New Roman" w:eastAsia="Times New Roman" w:hAnsi="Times New Roman" w:cs="Times New Roman"/>
          <w:b/>
          <w:bCs/>
          <w:sz w:val="32"/>
          <w:szCs w:val="32"/>
        </w:rPr>
      </w:pPr>
    </w:p>
    <w:p w14:paraId="4921BA6B" w14:textId="07D98076" w:rsidR="007D58F1" w:rsidRPr="007D58F1" w:rsidRDefault="007D58F1" w:rsidP="007D58F1">
      <w:pPr>
        <w:rPr>
          <w:rFonts w:ascii="Times New Roman" w:eastAsia="Times New Roman" w:hAnsi="Times New Roman" w:cs="Times New Roman"/>
          <w:b/>
          <w:bCs/>
          <w:sz w:val="32"/>
          <w:szCs w:val="32"/>
        </w:rPr>
      </w:pPr>
      <w:r w:rsidRPr="007D58F1">
        <w:rPr>
          <w:rFonts w:ascii="Times New Roman" w:eastAsia="Times New Roman" w:hAnsi="Times New Roman" w:cs="Times New Roman"/>
          <w:b/>
          <w:bCs/>
          <w:sz w:val="32"/>
          <w:szCs w:val="32"/>
        </w:rPr>
        <w:t>Über Favre Leuba:</w:t>
      </w:r>
    </w:p>
    <w:p w14:paraId="2DF97D8E" w14:textId="77777777" w:rsidR="007D58F1" w:rsidRPr="007D58F1" w:rsidRDefault="007D58F1" w:rsidP="007D58F1">
      <w:pPr>
        <w:rPr>
          <w:rFonts w:ascii="Times New Roman" w:eastAsia="Times New Roman" w:hAnsi="Times New Roman" w:cs="Times New Roman"/>
          <w:sz w:val="32"/>
          <w:szCs w:val="32"/>
        </w:rPr>
      </w:pPr>
      <w:r w:rsidRPr="007D58F1">
        <w:rPr>
          <w:rFonts w:ascii="Times New Roman" w:eastAsia="Times New Roman" w:hAnsi="Times New Roman" w:cs="Times New Roman"/>
          <w:sz w:val="32"/>
          <w:szCs w:val="32"/>
        </w:rPr>
        <w:t>Favre Leuba wurde 1737 in Le Locle gegründet und ist die zweitälteste Schweizer Uhrenmarke. Das Haus mit seiner legendären, nahezu drei Jahrhunderte umfassenden Geschichte war stets ein Pionier bei der Entwicklung mechanischer Instrumente, die dem Leitgedanken von „</w:t>
      </w:r>
      <w:proofErr w:type="spellStart"/>
      <w:r w:rsidRPr="007D58F1">
        <w:rPr>
          <w:rFonts w:ascii="Times New Roman" w:eastAsia="Times New Roman" w:hAnsi="Times New Roman" w:cs="Times New Roman"/>
          <w:sz w:val="32"/>
          <w:szCs w:val="32"/>
        </w:rPr>
        <w:t>Conquering</w:t>
      </w:r>
      <w:proofErr w:type="spellEnd"/>
      <w:r w:rsidRPr="007D58F1">
        <w:rPr>
          <w:rFonts w:ascii="Times New Roman" w:eastAsia="Times New Roman" w:hAnsi="Times New Roman" w:cs="Times New Roman"/>
          <w:sz w:val="32"/>
          <w:szCs w:val="32"/>
        </w:rPr>
        <w:t xml:space="preserve"> Frontiers“ folgen.</w:t>
      </w:r>
    </w:p>
    <w:p w14:paraId="57526C87" w14:textId="77777777" w:rsidR="007D58F1" w:rsidRPr="007D58F1" w:rsidRDefault="007D58F1" w:rsidP="007D58F1">
      <w:pPr>
        <w:rPr>
          <w:rFonts w:ascii="Times New Roman" w:eastAsia="Times New Roman" w:hAnsi="Times New Roman" w:cs="Times New Roman"/>
          <w:sz w:val="32"/>
          <w:szCs w:val="32"/>
        </w:rPr>
      </w:pPr>
    </w:p>
    <w:p w14:paraId="101A5CE0" w14:textId="77777777" w:rsidR="007D58F1" w:rsidRPr="007D58F1" w:rsidRDefault="007D58F1" w:rsidP="007D58F1">
      <w:pPr>
        <w:rPr>
          <w:rFonts w:ascii="Times New Roman" w:eastAsia="Times New Roman" w:hAnsi="Times New Roman" w:cs="Times New Roman"/>
          <w:sz w:val="32"/>
          <w:szCs w:val="32"/>
        </w:rPr>
      </w:pPr>
      <w:r w:rsidRPr="007D58F1">
        <w:rPr>
          <w:rFonts w:ascii="Times New Roman" w:eastAsia="Times New Roman" w:hAnsi="Times New Roman" w:cs="Times New Roman"/>
          <w:sz w:val="32"/>
          <w:szCs w:val="32"/>
        </w:rPr>
        <w:t xml:space="preserve">Nach einem globalen Neustart 2024 ist Favre Leuba in eine Ära der neuen „Renaissance“ eingetreten. Der aktuelle Katalog der Marke ruht auf fünf markanten Säulen – Chief, </w:t>
      </w:r>
      <w:proofErr w:type="spellStart"/>
      <w:r w:rsidRPr="007D58F1">
        <w:rPr>
          <w:rFonts w:ascii="Times New Roman" w:eastAsia="Times New Roman" w:hAnsi="Times New Roman" w:cs="Times New Roman"/>
          <w:sz w:val="32"/>
          <w:szCs w:val="32"/>
        </w:rPr>
        <w:t>Sea</w:t>
      </w:r>
      <w:proofErr w:type="spellEnd"/>
      <w:r w:rsidRPr="007D58F1">
        <w:rPr>
          <w:rFonts w:ascii="Times New Roman" w:eastAsia="Times New Roman" w:hAnsi="Times New Roman" w:cs="Times New Roman"/>
          <w:sz w:val="32"/>
          <w:szCs w:val="32"/>
        </w:rPr>
        <w:t xml:space="preserve"> Sky, Deep Raider sowie den kürzlich eingeführten Kollektionen </w:t>
      </w:r>
      <w:proofErr w:type="spellStart"/>
      <w:r w:rsidRPr="007D58F1">
        <w:rPr>
          <w:rFonts w:ascii="Times New Roman" w:eastAsia="Times New Roman" w:hAnsi="Times New Roman" w:cs="Times New Roman"/>
          <w:sz w:val="32"/>
          <w:szCs w:val="32"/>
        </w:rPr>
        <w:t>Harpoon</w:t>
      </w:r>
      <w:proofErr w:type="spellEnd"/>
      <w:r w:rsidRPr="007D58F1">
        <w:rPr>
          <w:rFonts w:ascii="Times New Roman" w:eastAsia="Times New Roman" w:hAnsi="Times New Roman" w:cs="Times New Roman"/>
          <w:sz w:val="32"/>
          <w:szCs w:val="32"/>
        </w:rPr>
        <w:t xml:space="preserve"> und 1737, die historische Designcodes mit modernem mechanischem Fortschritt verbinden. Im Jahr 2026 setzte Favre Leuba einen wegweisenden Meilenstein mit der erstmaligen Teilnahme an der Watches and Wonders Geneva.</w:t>
      </w:r>
    </w:p>
    <w:p w14:paraId="5E69AB14" w14:textId="77777777" w:rsidR="007D58F1" w:rsidRPr="007D58F1" w:rsidRDefault="007D58F1" w:rsidP="007D58F1">
      <w:pPr>
        <w:rPr>
          <w:rFonts w:ascii="Times New Roman" w:eastAsia="Times New Roman" w:hAnsi="Times New Roman" w:cs="Times New Roman"/>
          <w:sz w:val="32"/>
          <w:szCs w:val="32"/>
        </w:rPr>
      </w:pPr>
    </w:p>
    <w:p w14:paraId="187011AD" w14:textId="16D516D4" w:rsidR="007D58F1" w:rsidRPr="007D58F1" w:rsidRDefault="007D58F1" w:rsidP="007D58F1">
      <w:pPr>
        <w:rPr>
          <w:rFonts w:ascii="Times New Roman" w:eastAsia="Times New Roman" w:hAnsi="Times New Roman" w:cs="Times New Roman"/>
          <w:sz w:val="32"/>
          <w:szCs w:val="32"/>
        </w:rPr>
      </w:pPr>
      <w:r w:rsidRPr="007D58F1">
        <w:rPr>
          <w:rFonts w:ascii="Times New Roman" w:eastAsia="Times New Roman" w:hAnsi="Times New Roman" w:cs="Times New Roman"/>
          <w:sz w:val="32"/>
          <w:szCs w:val="32"/>
        </w:rPr>
        <w:t>Mit Hauptsitz in Grenchen, Schweiz, bleibt Favre Leuba seiner Mission verpflichtet, einer neuen Generation von Abenteurern und Uhrenliebhabern außergewöhnliche Wertigkeit und Schweizer Präzision zu bieten.</w:t>
      </w:r>
    </w:p>
    <w:sectPr w:rsidR="007D58F1" w:rsidRPr="007D58F1">
      <w:pgSz w:w="12240" w:h="15840"/>
      <w:pgMar w:top="993" w:right="1440" w:bottom="851" w:left="1417"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E3F9BA8A-80FF-274B-BADA-348AADBC816E}"/>
    <w:embedBold r:id="rId2" w:fontKey="{F67D1B08-81E5-2640-ABD2-996B8AB740F6}"/>
    <w:embedItalic r:id="rId3" w:fontKey="{3898D7D7-650E-A84F-AF88-F82B460DC8C4}"/>
  </w:font>
  <w:font w:name="Times New Roman">
    <w:panose1 w:val="02020603050405020304"/>
    <w:charset w:val="00"/>
    <w:family w:val="roman"/>
    <w:pitch w:val="variable"/>
    <w:sig w:usb0="E0002EFF" w:usb1="C000785B" w:usb2="00000009" w:usb3="00000000" w:csb0="000001FF" w:csb1="00000000"/>
    <w:embedRegular r:id="rId4" w:fontKey="{01A49A08-3249-0842-B29F-801B1E8F97A4}"/>
    <w:embedBold r:id="rId5" w:fontKey="{F7553C19-9DE7-E040-B281-D58ABF68C62E}"/>
  </w:font>
  <w:font w:name="Calibri">
    <w:panose1 w:val="020F0502020204030204"/>
    <w:charset w:val="00"/>
    <w:family w:val="swiss"/>
    <w:pitch w:val="variable"/>
    <w:sig w:usb0="E4002EFF" w:usb1="C000247B" w:usb2="00000009" w:usb3="00000000" w:csb0="000001FF" w:csb1="00000000"/>
    <w:embedRegular r:id="rId6" w:fontKey="{43544093-18EB-DF47-9127-8EE9FFC0387C}"/>
  </w:font>
  <w:font w:name="Cambria">
    <w:panose1 w:val="02040503050406030204"/>
    <w:charset w:val="00"/>
    <w:family w:val="roman"/>
    <w:notTrueType/>
    <w:pitch w:val="variable"/>
    <w:sig w:usb0="E00006FF" w:usb1="420024FF" w:usb2="02000000" w:usb3="00000000" w:csb0="0000019F" w:csb1="00000000"/>
    <w:embedRegular r:id="rId7" w:fontKey="{39C62F7F-199B-594F-93ED-698177937BB4}"/>
  </w:font>
</w:fonts>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97"/>
    <w:rsid w:val="000D6159"/>
    <w:rsid w:val="00122C7E"/>
    <w:rsid w:val="002274CB"/>
    <w:rsid w:val="006F412C"/>
    <w:rsid w:val="007C496F"/>
    <w:rsid w:val="007D58F1"/>
    <w:rsid w:val="00901716"/>
    <w:rsid w:val="009F1397"/>
    <w:rsid w:val="00B555DE"/>
    <w:rsid w:val="00E466B7"/>
    <w:rsid w:val="00F01C7E"/>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ecimalSymbol w:val="."/>
  <w:listSeparator w:val=","/>
  <w14:docId w14:val="1214C36E"/>
  <w15:docId w15:val="{A9BAE141-822B-8648-83B6-3BAA8AC29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Arial" w:eastAsia="Arial" w:hAnsi="Arial" w:cs="Arial"/>
        <w:sz w:val="22"/>
        <w:szCs w:val="22"/>
        <w:lang w:val="de-DE"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901716"/>
    <w:rPr>
      <w:sz w:val="16"/>
      <w:szCs w:val="16"/>
    </w:rPr>
  </w:style>
  <w:style w:type="paragraph" w:styleId="CommentText">
    <w:name w:val="annotation text"/>
    <w:basedOn w:val="Normal"/>
    <w:link w:val="CommentTextChar"/>
    <w:uiPriority w:val="99"/>
    <w:unhideWhenUsed/>
    <w:rsid w:val="00901716"/>
    <w:pPr>
      <w:spacing w:line="240" w:lineRule="auto"/>
    </w:pPr>
    <w:rPr>
      <w:sz w:val="20"/>
      <w:szCs w:val="20"/>
    </w:rPr>
  </w:style>
  <w:style w:type="character" w:customStyle="1" w:styleId="CommentTextChar">
    <w:name w:val="Comment Text Char"/>
    <w:basedOn w:val="DefaultParagraphFont"/>
    <w:link w:val="CommentText"/>
    <w:uiPriority w:val="99"/>
    <w:rsid w:val="00901716"/>
    <w:rPr>
      <w:sz w:val="20"/>
      <w:szCs w:val="20"/>
    </w:rPr>
  </w:style>
  <w:style w:type="paragraph" w:styleId="CommentSubject">
    <w:name w:val="annotation subject"/>
    <w:basedOn w:val="CommentText"/>
    <w:next w:val="CommentText"/>
    <w:link w:val="CommentSubjectChar"/>
    <w:uiPriority w:val="99"/>
    <w:semiHidden/>
    <w:unhideWhenUsed/>
    <w:rsid w:val="00901716"/>
    <w:rPr>
      <w:b/>
      <w:bCs/>
    </w:rPr>
  </w:style>
  <w:style w:type="character" w:customStyle="1" w:styleId="CommentSubjectChar">
    <w:name w:val="Comment Subject Char"/>
    <w:basedOn w:val="CommentTextChar"/>
    <w:link w:val="CommentSubject"/>
    <w:uiPriority w:val="99"/>
    <w:semiHidden/>
    <w:rsid w:val="00901716"/>
    <w:rPr>
      <w:b/>
      <w:bCs/>
      <w:sz w:val="20"/>
      <w:szCs w:val="20"/>
    </w:rPr>
  </w:style>
  <w:style w:type="character" w:styleId="Hyperlink">
    <w:name w:val="Hyperlink"/>
    <w:basedOn w:val="DefaultParagraphFont"/>
    <w:uiPriority w:val="99"/>
    <w:unhideWhenUsed/>
    <w:rsid w:val="00122C7E"/>
    <w:rPr>
      <w:color w:val="0000FF" w:themeColor="hyperlink"/>
      <w:u w:val="single"/>
    </w:rPr>
  </w:style>
  <w:style w:type="character" w:styleId="UnresolvedMention">
    <w:name w:val="Unresolved Mention"/>
    <w:basedOn w:val="DefaultParagraphFont"/>
    <w:uiPriority w:val="99"/>
    <w:semiHidden/>
    <w:unhideWhenUsed/>
    <w:rsid w:val="00122C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marketing@favreleuba.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Exy/TY+M281vKINmgV/7n7jgYwA==">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5</Pages>
  <Words>868</Words>
  <Characters>4954</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Susanne Hurni</dc:creator>
  <cp:lastModifiedBy>Amol Ahlawat</cp:lastModifiedBy>
  <cp:revision>6</cp:revision>
  <dcterms:created xsi:type="dcterms:W3CDTF">2026-07-29T09:31:00Z</dcterms:created>
  <dcterms:modified xsi:type="dcterms:W3CDTF">2026-07-29T12:24:00Z</dcterms:modified>
</cp:coreProperties>
</file>