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04CB3138" w14:textId="77777777" w:rsidR="009F1397" w:rsidRDefault="00000000">
      <w:pPr>
        <w:jc w:val="center"/>
        <w:rPr>
          <w:rFonts w:ascii="Times New Roman" w:eastAsia="Times New Roman" w:hAnsi="Times New Roman" w:cs="Times New Roman"/>
          <w:sz w:val="32"/>
          <w:szCs w:val="32"/>
        </w:rPr>
      </w:pPr>
      <w:r>
        <w:rPr>
          <w:rFonts w:ascii="Times New Roman" w:hAnsi="Times New Roman"/>
          <w:b/>
          <w:noProof/>
          <w:color w:val="FF0000"/>
          <w:sz w:val="32"/>
        </w:rPr>
        <w:drawing>
          <wp:inline distT="114300" distB="114300" distL="114300" distR="114300" wp14:anchorId="4462428A" wp14:editId="089F91EF">
            <wp:extent cx="2990850" cy="1104900"/>
            <wp:effectExtent l="0" t="0" r="0" b="0"/>
            <wp:docPr id="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5"/>
                    <a:srcRect/>
                    <a:stretch>
                      <a:fillRect/>
                    </a:stretch>
                  </pic:blipFill>
                  <pic:spPr>
                    <a:xfrm>
                      <a:off x="0" y="0"/>
                      <a:ext cx="2990850" cy="1104900"/>
                    </a:xfrm>
                    <a:prstGeom prst="rect">
                      <a:avLst/>
                    </a:prstGeom>
                    <a:ln/>
                  </pic:spPr>
                </pic:pic>
              </a:graphicData>
            </a:graphic>
          </wp:inline>
        </w:drawing>
      </w:r>
    </w:p>
    <w:p w14:paraId="022BE652" w14:textId="3BDA70DE" w:rsidR="009F1397" w:rsidRDefault="00000000">
      <w:pPr>
        <w:rPr>
          <w:rFonts w:ascii="Times New Roman" w:eastAsia="Times New Roman" w:hAnsi="Times New Roman" w:cs="Times New Roman"/>
          <w:color w:val="FF0000"/>
          <w:sz w:val="32"/>
          <w:szCs w:val="32"/>
        </w:rPr>
      </w:pPr>
      <w:r>
        <w:rPr>
          <w:rFonts w:ascii="Times New Roman" w:hAnsi="Times New Roman"/>
          <w:b/>
          <w:color w:val="FF0000"/>
          <w:sz w:val="32"/>
        </w:rPr>
        <w:br/>
      </w:r>
      <w:r w:rsidR="00562D35" w:rsidRPr="00562D35">
        <w:rPr>
          <w:rFonts w:ascii="Times New Roman" w:hAnsi="Times New Roman"/>
          <w:b/>
          <w:color w:val="FF0000"/>
          <w:sz w:val="32"/>
        </w:rPr>
        <w:t>Embargo : Lundi 3 août 2026 – 18 h, CET</w:t>
      </w:r>
    </w:p>
    <w:p w14:paraId="62688592" w14:textId="0A4472B3" w:rsidR="009F1397" w:rsidRDefault="00C979E9" w:rsidP="00C979E9">
      <w:pPr>
        <w:jc w:val="center"/>
        <w:rPr>
          <w:sz w:val="32"/>
          <w:szCs w:val="32"/>
        </w:rPr>
      </w:pPr>
      <w:r w:rsidRPr="00C979E9">
        <w:rPr>
          <w:rFonts w:ascii="Times New Roman" w:hAnsi="Times New Roman"/>
          <w:b/>
          <w:color w:val="000000"/>
          <w:sz w:val="32"/>
        </w:rPr>
        <w:t xml:space="preserve">Favre Leuba diversifie sa collection Deep Raider Day Date avec une nouvelle version </w:t>
      </w:r>
      <w:proofErr w:type="spellStart"/>
      <w:r w:rsidRPr="00C979E9">
        <w:rPr>
          <w:rFonts w:ascii="Times New Roman" w:hAnsi="Times New Roman"/>
          <w:b/>
          <w:color w:val="000000"/>
          <w:sz w:val="32"/>
        </w:rPr>
        <w:t>Two</w:t>
      </w:r>
      <w:proofErr w:type="spellEnd"/>
      <w:r w:rsidRPr="00C979E9">
        <w:rPr>
          <w:rFonts w:ascii="Times New Roman" w:hAnsi="Times New Roman"/>
          <w:b/>
          <w:color w:val="000000"/>
          <w:sz w:val="32"/>
        </w:rPr>
        <w:t>-Tone</w:t>
      </w:r>
    </w:p>
    <w:p w14:paraId="5ED91EC2" w14:textId="77777777" w:rsidR="009F1397" w:rsidRDefault="00000000">
      <w:pPr>
        <w:jc w:val="center"/>
        <w:rPr>
          <w:sz w:val="32"/>
          <w:szCs w:val="32"/>
        </w:rPr>
      </w:pPr>
      <w:r>
        <w:rPr>
          <w:noProof/>
          <w:sz w:val="32"/>
        </w:rPr>
        <w:drawing>
          <wp:inline distT="114300" distB="114300" distL="114300" distR="114300" wp14:anchorId="6CAE4394" wp14:editId="74638916">
            <wp:extent cx="1521777" cy="2053868"/>
            <wp:effectExtent l="0" t="0" r="0" b="0"/>
            <wp:docPr id="3"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6"/>
                    <a:srcRect/>
                    <a:stretch>
                      <a:fillRect/>
                    </a:stretch>
                  </pic:blipFill>
                  <pic:spPr>
                    <a:xfrm>
                      <a:off x="0" y="0"/>
                      <a:ext cx="1521777" cy="2053868"/>
                    </a:xfrm>
                    <a:prstGeom prst="rect">
                      <a:avLst/>
                    </a:prstGeom>
                    <a:ln/>
                  </pic:spPr>
                </pic:pic>
              </a:graphicData>
            </a:graphic>
          </wp:inline>
        </w:drawing>
      </w:r>
      <w:r>
        <w:rPr>
          <w:noProof/>
          <w:sz w:val="32"/>
        </w:rPr>
        <w:drawing>
          <wp:inline distT="114300" distB="114300" distL="114300" distR="114300" wp14:anchorId="298F08A8" wp14:editId="6F4BCBA7">
            <wp:extent cx="1521777" cy="2053868"/>
            <wp:effectExtent l="0" t="0" r="0" b="0"/>
            <wp:docPr id="2"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7"/>
                    <a:srcRect t="80" b="80"/>
                    <a:stretch>
                      <a:fillRect/>
                    </a:stretch>
                  </pic:blipFill>
                  <pic:spPr>
                    <a:xfrm>
                      <a:off x="0" y="0"/>
                      <a:ext cx="1521777" cy="2053868"/>
                    </a:xfrm>
                    <a:prstGeom prst="rect">
                      <a:avLst/>
                    </a:prstGeom>
                    <a:ln/>
                  </pic:spPr>
                </pic:pic>
              </a:graphicData>
            </a:graphic>
          </wp:inline>
        </w:drawing>
      </w:r>
      <w:r>
        <w:rPr>
          <w:noProof/>
          <w:sz w:val="32"/>
        </w:rPr>
        <w:drawing>
          <wp:inline distT="114300" distB="114300" distL="114300" distR="114300" wp14:anchorId="49D0AF77" wp14:editId="65E8545A">
            <wp:extent cx="1521777" cy="2053868"/>
            <wp:effectExtent l="0" t="0" r="0" b="0"/>
            <wp:docPr id="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t="80" b="80"/>
                    <a:stretch>
                      <a:fillRect/>
                    </a:stretch>
                  </pic:blipFill>
                  <pic:spPr>
                    <a:xfrm>
                      <a:off x="0" y="0"/>
                      <a:ext cx="1521777" cy="2053868"/>
                    </a:xfrm>
                    <a:prstGeom prst="rect">
                      <a:avLst/>
                    </a:prstGeom>
                    <a:ln/>
                  </pic:spPr>
                </pic:pic>
              </a:graphicData>
            </a:graphic>
          </wp:inline>
        </w:drawing>
      </w:r>
    </w:p>
    <w:p w14:paraId="5B3339FB" w14:textId="77777777" w:rsidR="009F1397" w:rsidRDefault="009F1397">
      <w:pPr>
        <w:rPr>
          <w:sz w:val="32"/>
          <w:szCs w:val="32"/>
        </w:rPr>
      </w:pPr>
    </w:p>
    <w:p w14:paraId="57443217" w14:textId="42C2B969" w:rsidR="009F1397" w:rsidRDefault="00000000">
      <w:r>
        <w:rPr>
          <w:rFonts w:ascii="Times New Roman" w:hAnsi="Times New Roman"/>
          <w:sz w:val="32"/>
        </w:rPr>
        <w:t xml:space="preserve">Récemment dévoilée, la Deep Raider Day Date a renforcé l'attrait de la collection en s'imposant comme une montre idéale au quotidien, dotée de fonctionnalités accrues. Alors que les modèles de lancement étaient en acier, la série gagne en diversité avec </w:t>
      </w:r>
      <w:r w:rsidR="00C979E9" w:rsidRPr="00C979E9">
        <w:rPr>
          <w:rFonts w:ascii="Times New Roman" w:hAnsi="Times New Roman"/>
          <w:sz w:val="32"/>
        </w:rPr>
        <w:t xml:space="preserve">la Deep Raider Day Date dans sa nouvelle version </w:t>
      </w:r>
      <w:proofErr w:type="spellStart"/>
      <w:r w:rsidR="00C979E9">
        <w:rPr>
          <w:rFonts w:ascii="Times New Roman" w:hAnsi="Times New Roman"/>
          <w:sz w:val="32"/>
        </w:rPr>
        <w:t>t</w:t>
      </w:r>
      <w:r w:rsidR="00C979E9" w:rsidRPr="00C979E9">
        <w:rPr>
          <w:rFonts w:ascii="Times New Roman" w:hAnsi="Times New Roman"/>
          <w:sz w:val="32"/>
        </w:rPr>
        <w:t>wo-</w:t>
      </w:r>
      <w:r w:rsidR="00C979E9">
        <w:rPr>
          <w:rFonts w:ascii="Times New Roman" w:hAnsi="Times New Roman"/>
          <w:sz w:val="32"/>
        </w:rPr>
        <w:t>t</w:t>
      </w:r>
      <w:r w:rsidR="00C979E9" w:rsidRPr="00C979E9">
        <w:rPr>
          <w:rFonts w:ascii="Times New Roman" w:hAnsi="Times New Roman"/>
          <w:sz w:val="32"/>
        </w:rPr>
        <w:t>one</w:t>
      </w:r>
      <w:proofErr w:type="spellEnd"/>
      <w:r>
        <w:rPr>
          <w:rFonts w:ascii="Times New Roman" w:hAnsi="Times New Roman"/>
          <w:sz w:val="32"/>
        </w:rPr>
        <w:t xml:space="preserve">, arborant des éléments traités PVD or jaune et des teintes de cadran classiques. </w:t>
      </w:r>
    </w:p>
    <w:p w14:paraId="6E428960" w14:textId="77777777" w:rsidR="009F1397" w:rsidRDefault="009F1397">
      <w:pPr>
        <w:rPr>
          <w:rFonts w:ascii="Times New Roman" w:eastAsia="Times New Roman" w:hAnsi="Times New Roman" w:cs="Times New Roman"/>
          <w:sz w:val="32"/>
          <w:szCs w:val="32"/>
        </w:rPr>
      </w:pPr>
    </w:p>
    <w:p w14:paraId="099D0CBB" w14:textId="77777777" w:rsidR="009F1397" w:rsidRDefault="00000000">
      <w:pPr>
        <w:spacing w:after="240"/>
      </w:pPr>
      <w:r>
        <w:rPr>
          <w:rFonts w:ascii="Times New Roman" w:hAnsi="Times New Roman"/>
          <w:b/>
          <w:sz w:val="32"/>
        </w:rPr>
        <w:t xml:space="preserve">La Deep Raider Day Date s'offre la touche de Midas </w:t>
      </w:r>
    </w:p>
    <w:p w14:paraId="68FE2824" w14:textId="434FDA7E" w:rsidR="009F1397" w:rsidRDefault="00000000">
      <w:r>
        <w:rPr>
          <w:rFonts w:ascii="Times New Roman" w:hAnsi="Times New Roman"/>
          <w:sz w:val="32"/>
        </w:rPr>
        <w:t xml:space="preserve">Le boîtier de la Deep Raider Day Date est façonné en acier inoxydable 316L, affiche un diamètre de 40 mm et garantit une étanchéité jusqu'à 300 mètres, soit 30 ATM. Il conjugue des finitions brossées et polies. Plus significatif encore sur cette édition, la couronne et la lunette bénéficient d'un traitement en or jaune, appliqué par procédé PVD (dépôt physique en phase vapeur). En outre, même les maillons centraux du </w:t>
      </w:r>
      <w:r>
        <w:rPr>
          <w:rFonts w:ascii="Times New Roman" w:hAnsi="Times New Roman"/>
          <w:sz w:val="32"/>
        </w:rPr>
        <w:lastRenderedPageBreak/>
        <w:t>bracelet intégré ont reçu ce traitement, conférant à la Day Date une allure</w:t>
      </w:r>
      <w:r w:rsidR="00330118">
        <w:rPr>
          <w:rFonts w:ascii="Times New Roman" w:hAnsi="Times New Roman"/>
          <w:sz w:val="32"/>
        </w:rPr>
        <w:t xml:space="preserve"> </w:t>
      </w:r>
      <w:r>
        <w:rPr>
          <w:rFonts w:ascii="Times New Roman" w:hAnsi="Times New Roman"/>
          <w:sz w:val="32"/>
        </w:rPr>
        <w:t xml:space="preserve">prestigieuse. </w:t>
      </w:r>
    </w:p>
    <w:p w14:paraId="7956CE7B" w14:textId="77777777" w:rsidR="009F1397" w:rsidRDefault="009F1397">
      <w:pPr>
        <w:rPr>
          <w:rFonts w:ascii="Times New Roman" w:eastAsia="Times New Roman" w:hAnsi="Times New Roman" w:cs="Times New Roman"/>
          <w:sz w:val="32"/>
          <w:szCs w:val="32"/>
        </w:rPr>
      </w:pPr>
    </w:p>
    <w:p w14:paraId="123C49FC" w14:textId="77777777" w:rsidR="009F1397" w:rsidRDefault="00000000">
      <w:r>
        <w:rPr>
          <w:rFonts w:ascii="Times New Roman" w:hAnsi="Times New Roman"/>
          <w:sz w:val="32"/>
        </w:rPr>
        <w:t xml:space="preserve">La lunette tournante unidirectionnelle est dotée d'un insert en céramique avec une échelle de compte à rebours de plongée de 60 minutes. Même les index de la lunette arborent une finition dorée, complétant parfaitement les éléments en or de la pièce. </w:t>
      </w:r>
    </w:p>
    <w:p w14:paraId="2DEF016B" w14:textId="77777777" w:rsidR="009F1397" w:rsidRDefault="009F1397">
      <w:pPr>
        <w:rPr>
          <w:rFonts w:ascii="Times New Roman" w:eastAsia="Times New Roman" w:hAnsi="Times New Roman" w:cs="Times New Roman"/>
          <w:sz w:val="32"/>
          <w:szCs w:val="32"/>
        </w:rPr>
      </w:pPr>
    </w:p>
    <w:p w14:paraId="45163A8A" w14:textId="7D286821" w:rsidR="009F1397" w:rsidRDefault="00000000">
      <w:pPr>
        <w:rPr>
          <w:rFonts w:ascii="Times New Roman" w:eastAsia="Times New Roman" w:hAnsi="Times New Roman" w:cs="Times New Roman"/>
          <w:sz w:val="32"/>
          <w:szCs w:val="32"/>
        </w:rPr>
      </w:pPr>
      <w:r>
        <w:rPr>
          <w:rFonts w:ascii="Times New Roman" w:hAnsi="Times New Roman"/>
          <w:sz w:val="32"/>
        </w:rPr>
        <w:t xml:space="preserve">Par ailleurs, le bracelet bénéficie d'une interchangeabilité sans outil, permettant au porteur de passer facilement du bracelet </w:t>
      </w:r>
      <w:proofErr w:type="spellStart"/>
      <w:r w:rsidR="00C979E9">
        <w:rPr>
          <w:rFonts w:ascii="Times New Roman" w:hAnsi="Times New Roman"/>
          <w:sz w:val="32"/>
        </w:rPr>
        <w:t>two-tone</w:t>
      </w:r>
      <w:proofErr w:type="spellEnd"/>
      <w:r>
        <w:rPr>
          <w:rFonts w:ascii="Times New Roman" w:hAnsi="Times New Roman"/>
          <w:sz w:val="32"/>
        </w:rPr>
        <w:t xml:space="preserve"> à un autre bracelet ou bracelet en caoutchouc de la collection Deep Raider Renaissance. </w:t>
      </w:r>
    </w:p>
    <w:p w14:paraId="5F256651" w14:textId="77777777" w:rsidR="009F1397" w:rsidRDefault="009F1397">
      <w:pPr>
        <w:rPr>
          <w:rFonts w:ascii="Times New Roman" w:eastAsia="Times New Roman" w:hAnsi="Times New Roman" w:cs="Times New Roman"/>
          <w:sz w:val="32"/>
          <w:szCs w:val="32"/>
        </w:rPr>
      </w:pPr>
    </w:p>
    <w:p w14:paraId="38D30C2A" w14:textId="77777777" w:rsidR="009F1397" w:rsidRDefault="00000000">
      <w:pPr>
        <w:rPr>
          <w:rFonts w:ascii="Times New Roman" w:eastAsia="Times New Roman" w:hAnsi="Times New Roman" w:cs="Times New Roman"/>
          <w:sz w:val="32"/>
          <w:szCs w:val="32"/>
        </w:rPr>
      </w:pPr>
      <w:bookmarkStart w:id="0" w:name="_heading=h.ysovbt240cew"/>
      <w:bookmarkEnd w:id="0"/>
      <w:r>
        <w:rPr>
          <w:rFonts w:ascii="Times New Roman" w:hAnsi="Times New Roman"/>
          <w:b/>
          <w:sz w:val="32"/>
        </w:rPr>
        <w:t>Cadrans classiques et accents dorés</w:t>
      </w:r>
    </w:p>
    <w:p w14:paraId="13868B4A" w14:textId="77777777" w:rsidR="009F1397" w:rsidRDefault="009F1397">
      <w:pPr>
        <w:rPr>
          <w:rFonts w:ascii="Times New Roman" w:eastAsia="Times New Roman" w:hAnsi="Times New Roman" w:cs="Times New Roman"/>
          <w:sz w:val="32"/>
          <w:szCs w:val="32"/>
        </w:rPr>
      </w:pPr>
    </w:p>
    <w:p w14:paraId="2B9A5C2B" w14:textId="3A819B71" w:rsidR="009F1397" w:rsidRDefault="00000000">
      <w:pPr>
        <w:rPr>
          <w:rFonts w:ascii="Times New Roman" w:eastAsia="Times New Roman" w:hAnsi="Times New Roman" w:cs="Times New Roman"/>
          <w:sz w:val="32"/>
          <w:szCs w:val="32"/>
        </w:rPr>
      </w:pPr>
      <w:r>
        <w:rPr>
          <w:rFonts w:ascii="Times New Roman" w:hAnsi="Times New Roman"/>
          <w:sz w:val="32"/>
        </w:rPr>
        <w:t xml:space="preserve">La nouvelle Deep Raider Day Date en version </w:t>
      </w:r>
      <w:proofErr w:type="spellStart"/>
      <w:r w:rsidR="00C979E9">
        <w:rPr>
          <w:rFonts w:ascii="Times New Roman" w:hAnsi="Times New Roman"/>
          <w:sz w:val="32"/>
        </w:rPr>
        <w:t>two-tone</w:t>
      </w:r>
      <w:proofErr w:type="spellEnd"/>
      <w:r>
        <w:rPr>
          <w:rFonts w:ascii="Times New Roman" w:hAnsi="Times New Roman"/>
          <w:sz w:val="32"/>
        </w:rPr>
        <w:t xml:space="preserve"> est proposée avec trois coloris de cadran : bleu et vert avec une finition dégradée saisissante, ainsi qu'un noir uni classique. Le dégradé des cadrans bleu et vert présente des nuances subtiles qui s'estompent vers des tons plus sombres à la périphérie, ajoutant de la profondeur au cadran de la montre. L'impact visuel de ces modèles </w:t>
      </w:r>
      <w:proofErr w:type="spellStart"/>
      <w:r w:rsidR="00C979E9">
        <w:rPr>
          <w:rFonts w:ascii="Times New Roman" w:hAnsi="Times New Roman"/>
          <w:sz w:val="32"/>
        </w:rPr>
        <w:t>two-tone</w:t>
      </w:r>
      <w:proofErr w:type="spellEnd"/>
      <w:r>
        <w:rPr>
          <w:rFonts w:ascii="Times New Roman" w:hAnsi="Times New Roman"/>
          <w:sz w:val="32"/>
        </w:rPr>
        <w:t xml:space="preserve"> repose principalement sur les détails traités à l'or, notamment les aiguilles centrales des heures, minutes et secondes, ainsi que le sablier emblématique de Favre Leuba à six heures. </w:t>
      </w:r>
    </w:p>
    <w:p w14:paraId="5BCE9FA2" w14:textId="77777777" w:rsidR="009F1397" w:rsidRDefault="009F1397">
      <w:pPr>
        <w:rPr>
          <w:rFonts w:ascii="Times New Roman" w:eastAsia="Times New Roman" w:hAnsi="Times New Roman" w:cs="Times New Roman"/>
          <w:sz w:val="32"/>
          <w:szCs w:val="32"/>
        </w:rPr>
      </w:pPr>
    </w:p>
    <w:p w14:paraId="20CEE4AB" w14:textId="77777777" w:rsidR="009F1397" w:rsidRDefault="00000000">
      <w:pPr>
        <w:rPr>
          <w:rFonts w:ascii="Times New Roman" w:eastAsia="Times New Roman" w:hAnsi="Times New Roman" w:cs="Times New Roman"/>
          <w:sz w:val="32"/>
          <w:szCs w:val="32"/>
        </w:rPr>
      </w:pPr>
      <w:r>
        <w:rPr>
          <w:rFonts w:ascii="Times New Roman" w:hAnsi="Times New Roman"/>
          <w:sz w:val="32"/>
        </w:rPr>
        <w:t>Alliant esthétique et fonctionnalité, les cadrans sont conçus selon une structure sandwich, intégrant une couche de base de luminescence qui assure un éclairage brillant et constant dans les conditions de faible luminosité.</w:t>
      </w:r>
    </w:p>
    <w:p w14:paraId="3C272D4B" w14:textId="77777777" w:rsidR="009F1397" w:rsidRDefault="009F1397">
      <w:pPr>
        <w:rPr>
          <w:rFonts w:ascii="Times New Roman" w:eastAsia="Times New Roman" w:hAnsi="Times New Roman" w:cs="Times New Roman"/>
          <w:sz w:val="32"/>
          <w:szCs w:val="32"/>
        </w:rPr>
      </w:pPr>
    </w:p>
    <w:p w14:paraId="4601606D" w14:textId="77777777" w:rsidR="009F1397" w:rsidRDefault="00000000">
      <w:pPr>
        <w:rPr>
          <w:rFonts w:ascii="Times New Roman" w:eastAsia="Times New Roman" w:hAnsi="Times New Roman" w:cs="Times New Roman"/>
          <w:sz w:val="32"/>
          <w:szCs w:val="32"/>
        </w:rPr>
      </w:pPr>
      <w:r>
        <w:rPr>
          <w:rFonts w:ascii="Times New Roman" w:hAnsi="Times New Roman"/>
          <w:sz w:val="32"/>
        </w:rPr>
        <w:t>D'autres éléments, tels que les index allongés des heures et le guichet jour et date à trois heures, restent identiques à ceux de l'édition Day Date précédente de la Deep Raider.</w:t>
      </w:r>
    </w:p>
    <w:p w14:paraId="3DDD08B2" w14:textId="77777777" w:rsidR="009F1397" w:rsidRDefault="00000000">
      <w:pPr>
        <w:pStyle w:val="Heading2"/>
        <w:keepNext w:val="0"/>
        <w:spacing w:after="0"/>
      </w:pPr>
      <w:bookmarkStart w:id="1" w:name="_heading=h.kllrnp3wi0lb"/>
      <w:bookmarkEnd w:id="1"/>
      <w:r>
        <w:rPr>
          <w:rFonts w:ascii="Times New Roman" w:hAnsi="Times New Roman"/>
          <w:b/>
        </w:rPr>
        <w:lastRenderedPageBreak/>
        <w:t>Fonctionnement de la Deep Raider Day Date</w:t>
      </w:r>
    </w:p>
    <w:p w14:paraId="63A358FF" w14:textId="77777777" w:rsidR="009F1397" w:rsidRDefault="009F1397">
      <w:pPr>
        <w:rPr>
          <w:rFonts w:ascii="Times New Roman" w:eastAsia="Times New Roman" w:hAnsi="Times New Roman" w:cs="Times New Roman"/>
          <w:sz w:val="32"/>
          <w:szCs w:val="32"/>
        </w:rPr>
      </w:pPr>
    </w:p>
    <w:p w14:paraId="0C9A21A8" w14:textId="77777777" w:rsidR="009F1397" w:rsidRDefault="00000000">
      <w:pPr>
        <w:spacing w:after="240"/>
      </w:pPr>
      <w:r>
        <w:rPr>
          <w:rFonts w:ascii="Times New Roman" w:hAnsi="Times New Roman"/>
          <w:sz w:val="32"/>
        </w:rPr>
        <w:t xml:space="preserve">La Deep Raider Day Date est animée par le calibre FLD05 à remontage automatique, cadencé à une fréquence de 28 800 alternances par heure. </w:t>
      </w:r>
    </w:p>
    <w:p w14:paraId="1009D68B" w14:textId="77777777" w:rsidR="009F1397" w:rsidRDefault="00000000">
      <w:r>
        <w:rPr>
          <w:rFonts w:ascii="Times New Roman" w:hAnsi="Times New Roman"/>
          <w:sz w:val="32"/>
        </w:rPr>
        <w:t xml:space="preserve">La rotation de la couronne dans le sens des aiguilles d'une montre règle la date, tandis qu'une rotation dans le sens inverse ajuste l'affichage du jour. Lors du réglage du jour, il est possible de choisir entre l'anglais et l'allemand — une préférence que la montre mémorisera au fil des jours. </w:t>
      </w:r>
    </w:p>
    <w:p w14:paraId="647841EC" w14:textId="77777777" w:rsidR="009F1397" w:rsidRDefault="009F1397">
      <w:pPr>
        <w:rPr>
          <w:rFonts w:ascii="Times New Roman" w:eastAsia="Times New Roman" w:hAnsi="Times New Roman" w:cs="Times New Roman"/>
          <w:sz w:val="32"/>
          <w:szCs w:val="32"/>
        </w:rPr>
      </w:pPr>
    </w:p>
    <w:p w14:paraId="7485FA1C" w14:textId="77777777" w:rsidR="009F1397" w:rsidRDefault="00000000">
      <w:pPr>
        <w:rPr>
          <w:rFonts w:ascii="Times New Roman" w:eastAsia="Times New Roman" w:hAnsi="Times New Roman" w:cs="Times New Roman"/>
          <w:b/>
          <w:bCs/>
          <w:sz w:val="32"/>
          <w:szCs w:val="32"/>
        </w:rPr>
      </w:pPr>
      <w:r>
        <w:rPr>
          <w:rFonts w:ascii="Times New Roman" w:hAnsi="Times New Roman"/>
          <w:b/>
          <w:sz w:val="32"/>
        </w:rPr>
        <w:t>Expansion de la collection Deep Raider</w:t>
      </w:r>
    </w:p>
    <w:p w14:paraId="52D8FC48" w14:textId="77777777" w:rsidR="009F1397" w:rsidRDefault="00000000">
      <w:pPr>
        <w:spacing w:before="240"/>
        <w:rPr>
          <w:rFonts w:ascii="Times New Roman" w:eastAsia="Times New Roman" w:hAnsi="Times New Roman" w:cs="Times New Roman"/>
          <w:sz w:val="32"/>
          <w:szCs w:val="32"/>
        </w:rPr>
      </w:pPr>
      <w:r>
        <w:rPr>
          <w:rFonts w:ascii="Times New Roman" w:hAnsi="Times New Roman"/>
          <w:sz w:val="32"/>
        </w:rPr>
        <w:t xml:space="preserve">La collection Deep Raider puise ses origines en 1964, année où Favre Leuba a lancé la Deep Blue : une montre de plongée robuste qui a posé les jalons des montres de plongée modernes de la marque. En 2024, elle a été réintroduite sous le nom de Deep Raider Revival. </w:t>
      </w:r>
    </w:p>
    <w:p w14:paraId="69533696" w14:textId="4A13BB84" w:rsidR="009F1397" w:rsidRDefault="00000000">
      <w:pPr>
        <w:spacing w:before="240"/>
        <w:rPr>
          <w:rFonts w:ascii="Times New Roman" w:eastAsia="Times New Roman" w:hAnsi="Times New Roman" w:cs="Times New Roman"/>
          <w:strike/>
          <w:sz w:val="32"/>
          <w:szCs w:val="32"/>
        </w:rPr>
      </w:pPr>
      <w:r>
        <w:rPr>
          <w:rFonts w:ascii="Times New Roman" w:hAnsi="Times New Roman"/>
          <w:sz w:val="32"/>
        </w:rPr>
        <w:t xml:space="preserve">La ligne Renaissance s'est enrichie en 2025 de cadrans en pierre, notamment en malachite et en météorite. Cette année, la collection s'est encore agrandie avec l'introduction de la Power Reserve puis de l'édition Day Date, </w:t>
      </w:r>
      <w:r w:rsidR="005E31D4" w:rsidRPr="005E31D4">
        <w:rPr>
          <w:rFonts w:ascii="Times New Roman" w:hAnsi="Times New Roman"/>
          <w:sz w:val="32"/>
        </w:rPr>
        <w:t xml:space="preserve">qui s'enrichit désormais de ces nouveaux modèles </w:t>
      </w:r>
      <w:proofErr w:type="spellStart"/>
      <w:r w:rsidR="005E31D4">
        <w:rPr>
          <w:rFonts w:ascii="Times New Roman" w:hAnsi="Times New Roman"/>
          <w:sz w:val="32"/>
        </w:rPr>
        <w:t>t</w:t>
      </w:r>
      <w:r w:rsidR="005E31D4" w:rsidRPr="005E31D4">
        <w:rPr>
          <w:rFonts w:ascii="Times New Roman" w:hAnsi="Times New Roman"/>
          <w:sz w:val="32"/>
        </w:rPr>
        <w:t>wo-</w:t>
      </w:r>
      <w:r w:rsidR="005E31D4">
        <w:rPr>
          <w:rFonts w:ascii="Times New Roman" w:hAnsi="Times New Roman"/>
          <w:sz w:val="32"/>
        </w:rPr>
        <w:t>t</w:t>
      </w:r>
      <w:r w:rsidR="005E31D4" w:rsidRPr="005E31D4">
        <w:rPr>
          <w:rFonts w:ascii="Times New Roman" w:hAnsi="Times New Roman"/>
          <w:sz w:val="32"/>
        </w:rPr>
        <w:t>one</w:t>
      </w:r>
      <w:proofErr w:type="spellEnd"/>
      <w:r w:rsidR="005E31D4" w:rsidRPr="005E31D4">
        <w:rPr>
          <w:rFonts w:ascii="Times New Roman" w:hAnsi="Times New Roman"/>
          <w:sz w:val="32"/>
        </w:rPr>
        <w:t>.</w:t>
      </w:r>
    </w:p>
    <w:p w14:paraId="07B4F56E" w14:textId="0ADD22FF" w:rsidR="009F1397" w:rsidRPr="00330118" w:rsidRDefault="005E31D4" w:rsidP="00330118">
      <w:pPr>
        <w:pBdr>
          <w:bottom w:val="single" w:sz="12" w:space="1" w:color="000000"/>
        </w:pBdr>
        <w:spacing w:before="240"/>
      </w:pPr>
      <w:r w:rsidRPr="005E31D4">
        <w:rPr>
          <w:rFonts w:ascii="Times New Roman" w:hAnsi="Times New Roman"/>
          <w:sz w:val="32"/>
        </w:rPr>
        <w:t xml:space="preserve">La Day Date est proposée au prix de : </w:t>
      </w:r>
      <w:r>
        <w:rPr>
          <w:rFonts w:ascii="Times New Roman" w:hAnsi="Times New Roman"/>
          <w:sz w:val="32"/>
        </w:rPr>
        <w:br/>
      </w:r>
      <w:r>
        <w:rPr>
          <w:rFonts w:ascii="Times New Roman" w:hAnsi="Times New Roman"/>
          <w:sz w:val="32"/>
        </w:rPr>
        <w:br/>
      </w:r>
      <w:r w:rsidR="00330118">
        <w:t>2’100 CHF</w:t>
      </w:r>
      <w:r w:rsidR="00330118">
        <w:br/>
        <w:t xml:space="preserve">2,100 GBP </w:t>
      </w:r>
      <w:r w:rsidR="00330118">
        <w:br/>
        <w:t>2</w:t>
      </w:r>
      <w:r>
        <w:t>’</w:t>
      </w:r>
      <w:r w:rsidR="00330118">
        <w:t>450 EUR</w:t>
      </w:r>
      <w:r w:rsidR="00330118">
        <w:br/>
        <w:t>2</w:t>
      </w:r>
      <w:r>
        <w:t>’</w:t>
      </w:r>
      <w:r w:rsidR="00330118">
        <w:t>700 USD</w:t>
      </w:r>
      <w:r w:rsidR="00330118">
        <w:rPr>
          <w:rFonts w:ascii="Times New Roman" w:hAnsi="Times New Roman"/>
          <w:strike/>
          <w:sz w:val="32"/>
        </w:rPr>
        <w:br/>
      </w:r>
    </w:p>
    <w:p w14:paraId="44381F5A" w14:textId="77777777" w:rsidR="009F1397" w:rsidRDefault="009F1397">
      <w:pPr>
        <w:spacing w:before="240"/>
        <w:rPr>
          <w:rFonts w:ascii="Times New Roman" w:eastAsia="Times New Roman" w:hAnsi="Times New Roman" w:cs="Times New Roman"/>
          <w:sz w:val="32"/>
          <w:szCs w:val="32"/>
        </w:rPr>
      </w:pPr>
    </w:p>
    <w:p w14:paraId="3817A7D9" w14:textId="77777777" w:rsidR="009F1397" w:rsidRDefault="00000000">
      <w:pPr>
        <w:pStyle w:val="Heading1"/>
        <w:keepNext w:val="0"/>
        <w:keepLines w:val="0"/>
        <w:spacing w:before="0" w:after="0"/>
        <w:rPr>
          <w:rFonts w:ascii="Times New Roman" w:eastAsia="Times New Roman" w:hAnsi="Times New Roman" w:cs="Times New Roman"/>
          <w:b/>
          <w:bCs/>
          <w:sz w:val="32"/>
          <w:szCs w:val="32"/>
        </w:rPr>
      </w:pPr>
      <w:r>
        <w:rPr>
          <w:rFonts w:ascii="Times New Roman" w:hAnsi="Times New Roman"/>
          <w:b/>
          <w:sz w:val="32"/>
        </w:rPr>
        <w:t>Caractéristiques techniques</w:t>
      </w:r>
    </w:p>
    <w:p w14:paraId="7E8EF5BD" w14:textId="77777777" w:rsidR="009F1397" w:rsidRDefault="009F1397">
      <w:pPr>
        <w:rPr>
          <w:rFonts w:ascii="Times New Roman" w:eastAsia="Times New Roman" w:hAnsi="Times New Roman" w:cs="Times New Roman"/>
          <w:sz w:val="32"/>
          <w:szCs w:val="32"/>
        </w:rPr>
      </w:pPr>
    </w:p>
    <w:p w14:paraId="4D763F8E" w14:textId="5C4F7342" w:rsidR="009F1397" w:rsidRDefault="00000000">
      <w:pPr>
        <w:pStyle w:val="Heading1"/>
        <w:keepNext w:val="0"/>
        <w:spacing w:before="0" w:after="0"/>
        <w:ind w:left="2160" w:hanging="2160"/>
      </w:pPr>
      <w:r>
        <w:rPr>
          <w:rFonts w:ascii="Times New Roman" w:hAnsi="Times New Roman"/>
          <w:b/>
          <w:color w:val="1D1D1D"/>
          <w:sz w:val="32"/>
        </w:rPr>
        <w:lastRenderedPageBreak/>
        <w:t>Boîtier :             </w:t>
      </w:r>
      <w:r>
        <w:rPr>
          <w:rFonts w:ascii="Times New Roman" w:hAnsi="Times New Roman"/>
          <w:color w:val="1D1D1D"/>
          <w:sz w:val="32"/>
        </w:rPr>
        <w:t>Boîtier rond en acier inoxydable aux finitions brossées et polies, avec lunette et couronne bénéficiant d'un traitement PVD or jaune, étanche à 30 ATM ; verre saphir doublement bombé avec traitement antireflet ; fond de boîtier fermé et gravé chimiquement avec sablier emblématique et motif de vagues</w:t>
      </w:r>
    </w:p>
    <w:p w14:paraId="4C711A01" w14:textId="77777777" w:rsidR="009F1397" w:rsidRDefault="009F1397">
      <w:pPr>
        <w:rPr>
          <w:sz w:val="32"/>
          <w:szCs w:val="32"/>
        </w:rPr>
      </w:pPr>
    </w:p>
    <w:p w14:paraId="29FF7606" w14:textId="0E36F310" w:rsidR="009F1397" w:rsidRDefault="00000000">
      <w:pPr>
        <w:pStyle w:val="Heading1"/>
        <w:keepNext w:val="0"/>
        <w:spacing w:before="0" w:after="0"/>
        <w:ind w:left="1700" w:hanging="1700"/>
      </w:pPr>
      <w:bookmarkStart w:id="2" w:name="_heading=h.2zeuur821qz7"/>
      <w:bookmarkEnd w:id="2"/>
      <w:proofErr w:type="gramStart"/>
      <w:r>
        <w:rPr>
          <w:rFonts w:ascii="Times New Roman" w:hAnsi="Times New Roman"/>
          <w:b/>
          <w:color w:val="1D1D1D"/>
          <w:sz w:val="32"/>
        </w:rPr>
        <w:t>Diamètre:</w:t>
      </w:r>
      <w:proofErr w:type="gramEnd"/>
      <w:r>
        <w:rPr>
          <w:rFonts w:ascii="Times New Roman" w:hAnsi="Times New Roman"/>
          <w:color w:val="1D1D1D"/>
          <w:sz w:val="32"/>
        </w:rPr>
        <w:t xml:space="preserve"> 40 mm ; 48,2 mm </w:t>
      </w:r>
      <w:proofErr w:type="spellStart"/>
      <w:r>
        <w:rPr>
          <w:rFonts w:ascii="Times New Roman" w:hAnsi="Times New Roman"/>
          <w:color w:val="1D1D1D"/>
          <w:sz w:val="32"/>
        </w:rPr>
        <w:t>entre-cornes</w:t>
      </w:r>
      <w:proofErr w:type="spellEnd"/>
    </w:p>
    <w:p w14:paraId="485F9FF7" w14:textId="77777777" w:rsidR="009F1397" w:rsidRDefault="009F1397">
      <w:pPr>
        <w:pStyle w:val="Heading1"/>
        <w:keepNext w:val="0"/>
        <w:keepLines w:val="0"/>
        <w:spacing w:before="0" w:after="0"/>
        <w:ind w:left="1700" w:hanging="1700"/>
        <w:rPr>
          <w:rFonts w:ascii="Times New Roman" w:eastAsia="Times New Roman" w:hAnsi="Times New Roman" w:cs="Times New Roman"/>
          <w:b/>
          <w:bCs/>
          <w:color w:val="1D1D1D"/>
          <w:sz w:val="32"/>
          <w:szCs w:val="32"/>
        </w:rPr>
      </w:pPr>
    </w:p>
    <w:p w14:paraId="1788B421" w14:textId="77777777" w:rsidR="009F1397" w:rsidRDefault="00000000">
      <w:pPr>
        <w:pStyle w:val="Heading1"/>
        <w:keepNext w:val="0"/>
        <w:spacing w:before="0" w:after="0"/>
        <w:ind w:left="1700" w:hanging="1700"/>
      </w:pPr>
      <w:bookmarkStart w:id="3" w:name="_heading=h.622p33svvkpl"/>
      <w:bookmarkEnd w:id="3"/>
      <w:r>
        <w:rPr>
          <w:rFonts w:ascii="Times New Roman" w:hAnsi="Times New Roman"/>
          <w:b/>
          <w:color w:val="1D1D1D"/>
          <w:sz w:val="32"/>
        </w:rPr>
        <w:t xml:space="preserve">Épaisseur : </w:t>
      </w:r>
      <w:r>
        <w:rPr>
          <w:rFonts w:ascii="Times New Roman" w:hAnsi="Times New Roman"/>
          <w:color w:val="1D1D1D"/>
          <w:sz w:val="32"/>
        </w:rPr>
        <w:t>12,5 mm</w:t>
      </w:r>
    </w:p>
    <w:p w14:paraId="727310F4" w14:textId="77777777" w:rsidR="009F1397" w:rsidRDefault="009F1397">
      <w:pPr>
        <w:pStyle w:val="Heading1"/>
        <w:keepNext w:val="0"/>
        <w:keepLines w:val="0"/>
        <w:spacing w:before="0" w:after="0"/>
        <w:ind w:left="1700" w:hanging="1700"/>
        <w:rPr>
          <w:rFonts w:ascii="Times New Roman" w:eastAsia="Times New Roman" w:hAnsi="Times New Roman" w:cs="Times New Roman"/>
          <w:b/>
          <w:bCs/>
          <w:color w:val="1D1D1D"/>
          <w:sz w:val="32"/>
          <w:szCs w:val="32"/>
        </w:rPr>
      </w:pPr>
    </w:p>
    <w:p w14:paraId="435E5EF8" w14:textId="77777777" w:rsidR="009F1397" w:rsidRDefault="00000000">
      <w:pPr>
        <w:pStyle w:val="Heading1"/>
        <w:keepNext w:val="0"/>
        <w:keepLines w:val="0"/>
        <w:spacing w:before="0" w:after="0"/>
        <w:ind w:left="1700" w:hanging="1700"/>
        <w:rPr>
          <w:rFonts w:ascii="Times New Roman" w:eastAsia="Times New Roman" w:hAnsi="Times New Roman" w:cs="Times New Roman"/>
          <w:color w:val="1D1D1D"/>
          <w:sz w:val="32"/>
          <w:szCs w:val="32"/>
        </w:rPr>
      </w:pPr>
      <w:r>
        <w:rPr>
          <w:rFonts w:ascii="Times New Roman" w:hAnsi="Times New Roman"/>
          <w:b/>
          <w:color w:val="1D1D1D"/>
          <w:sz w:val="32"/>
        </w:rPr>
        <w:t xml:space="preserve">Mouvement : </w:t>
      </w:r>
      <w:r>
        <w:rPr>
          <w:rFonts w:ascii="Times New Roman" w:hAnsi="Times New Roman"/>
          <w:color w:val="1D1D1D"/>
          <w:sz w:val="32"/>
        </w:rPr>
        <w:t xml:space="preserve">FLD05 (sur base </w:t>
      </w:r>
      <w:proofErr w:type="spellStart"/>
      <w:r>
        <w:rPr>
          <w:rFonts w:ascii="Times New Roman" w:hAnsi="Times New Roman"/>
          <w:color w:val="1D1D1D"/>
          <w:sz w:val="32"/>
        </w:rPr>
        <w:t>Sellita</w:t>
      </w:r>
      <w:proofErr w:type="spellEnd"/>
      <w:r>
        <w:rPr>
          <w:rFonts w:ascii="Times New Roman" w:hAnsi="Times New Roman"/>
          <w:color w:val="1D1D1D"/>
          <w:sz w:val="32"/>
        </w:rPr>
        <w:t xml:space="preserve"> SW-220-1) </w:t>
      </w:r>
    </w:p>
    <w:p w14:paraId="166E3360" w14:textId="77777777" w:rsidR="009F1397" w:rsidRDefault="00000000">
      <w:pPr>
        <w:pStyle w:val="Heading1"/>
        <w:keepNext w:val="0"/>
        <w:keepLines w:val="0"/>
        <w:spacing w:before="0" w:after="0"/>
        <w:ind w:left="2160"/>
        <w:rPr>
          <w:rFonts w:ascii="Times New Roman" w:eastAsia="Times New Roman" w:hAnsi="Times New Roman" w:cs="Times New Roman"/>
          <w:color w:val="1D1D1D"/>
          <w:sz w:val="32"/>
          <w:szCs w:val="32"/>
        </w:rPr>
      </w:pPr>
      <w:bookmarkStart w:id="4" w:name="_heading=h.klir1ixksdek"/>
      <w:bookmarkEnd w:id="4"/>
      <w:r>
        <w:rPr>
          <w:rFonts w:ascii="Times New Roman" w:hAnsi="Times New Roman"/>
          <w:color w:val="1D1D1D"/>
          <w:sz w:val="32"/>
        </w:rPr>
        <w:t xml:space="preserve">  Remontage automatique, réserve de marche de 38 heures </w:t>
      </w:r>
    </w:p>
    <w:p w14:paraId="1CB5B734" w14:textId="77777777" w:rsidR="009F1397" w:rsidRDefault="00000000">
      <w:pPr>
        <w:pStyle w:val="Heading1"/>
        <w:keepNext w:val="0"/>
        <w:keepLines w:val="0"/>
        <w:spacing w:before="0" w:after="0"/>
        <w:ind w:left="2160"/>
        <w:rPr>
          <w:rFonts w:ascii="Times New Roman" w:eastAsia="Times New Roman" w:hAnsi="Times New Roman" w:cs="Times New Roman"/>
          <w:color w:val="1D1D1D"/>
          <w:sz w:val="32"/>
          <w:szCs w:val="32"/>
        </w:rPr>
      </w:pPr>
      <w:bookmarkStart w:id="5" w:name="_heading=h.t4ca0gk3nvsr"/>
      <w:bookmarkEnd w:id="5"/>
      <w:r>
        <w:rPr>
          <w:rFonts w:ascii="Times New Roman" w:hAnsi="Times New Roman"/>
          <w:color w:val="1D1D1D"/>
          <w:sz w:val="32"/>
        </w:rPr>
        <w:t xml:space="preserve">  28 800 VPH (4 Hz)</w:t>
      </w:r>
    </w:p>
    <w:p w14:paraId="02420AC1" w14:textId="77777777" w:rsidR="009F1397" w:rsidRDefault="00000000">
      <w:pPr>
        <w:pStyle w:val="Heading1"/>
        <w:keepNext w:val="0"/>
        <w:keepLines w:val="0"/>
        <w:spacing w:before="0" w:after="0"/>
        <w:ind w:left="2160"/>
        <w:rPr>
          <w:rFonts w:ascii="Times New Roman" w:eastAsia="Times New Roman" w:hAnsi="Times New Roman" w:cs="Times New Roman"/>
          <w:color w:val="1D1D1D"/>
          <w:sz w:val="32"/>
          <w:szCs w:val="32"/>
        </w:rPr>
      </w:pPr>
      <w:bookmarkStart w:id="6" w:name="_heading=h.2l3om3672r1m"/>
      <w:bookmarkEnd w:id="6"/>
      <w:r>
        <w:rPr>
          <w:rFonts w:ascii="Times New Roman" w:hAnsi="Times New Roman"/>
          <w:color w:val="1D1D1D"/>
          <w:sz w:val="32"/>
        </w:rPr>
        <w:t xml:space="preserve">  26 rubis </w:t>
      </w:r>
    </w:p>
    <w:p w14:paraId="3AA33ED1" w14:textId="77777777" w:rsidR="009F1397" w:rsidRDefault="009F1397">
      <w:pPr>
        <w:pStyle w:val="Heading1"/>
        <w:keepNext w:val="0"/>
        <w:keepLines w:val="0"/>
        <w:spacing w:before="0" w:after="0"/>
        <w:ind w:left="1700" w:hanging="1700"/>
        <w:rPr>
          <w:rFonts w:ascii="Times New Roman" w:eastAsia="Times New Roman" w:hAnsi="Times New Roman" w:cs="Times New Roman"/>
          <w:b/>
          <w:bCs/>
          <w:color w:val="1D1D1D"/>
          <w:sz w:val="32"/>
          <w:szCs w:val="32"/>
        </w:rPr>
      </w:pPr>
      <w:bookmarkStart w:id="7" w:name="_heading=h.be8c9p69fos5"/>
      <w:bookmarkEnd w:id="7"/>
    </w:p>
    <w:p w14:paraId="23ADB451" w14:textId="77777777" w:rsidR="009F1397" w:rsidRDefault="00000000">
      <w:pPr>
        <w:pStyle w:val="Heading1"/>
        <w:keepNext w:val="0"/>
        <w:keepLines w:val="0"/>
        <w:spacing w:before="0" w:after="0"/>
        <w:ind w:left="1700" w:hanging="1700"/>
        <w:rPr>
          <w:rFonts w:ascii="Times New Roman" w:eastAsia="Times New Roman" w:hAnsi="Times New Roman" w:cs="Times New Roman"/>
          <w:color w:val="1D1D1D"/>
          <w:sz w:val="32"/>
          <w:szCs w:val="32"/>
        </w:rPr>
      </w:pPr>
      <w:r>
        <w:rPr>
          <w:rFonts w:ascii="Times New Roman" w:hAnsi="Times New Roman"/>
          <w:b/>
          <w:color w:val="1D1D1D"/>
          <w:sz w:val="32"/>
        </w:rPr>
        <w:t>Fonctions</w:t>
      </w:r>
      <w:r>
        <w:rPr>
          <w:rFonts w:ascii="Times New Roman" w:hAnsi="Times New Roman"/>
          <w:b/>
          <w:color w:val="1D1D1D"/>
          <w:sz w:val="32"/>
        </w:rPr>
        <w:tab/>
      </w:r>
      <w:r>
        <w:rPr>
          <w:rFonts w:ascii="Times New Roman" w:hAnsi="Times New Roman"/>
          <w:b/>
          <w:color w:val="1D1D1D"/>
          <w:sz w:val="32"/>
        </w:rPr>
        <w:tab/>
        <w:t xml:space="preserve"> : </w:t>
      </w:r>
      <w:r>
        <w:rPr>
          <w:rFonts w:ascii="Times New Roman" w:hAnsi="Times New Roman"/>
          <w:color w:val="1D1D1D"/>
          <w:sz w:val="32"/>
        </w:rPr>
        <w:t xml:space="preserve">Heures, minutes, secondes, affichage du jour et de la date </w:t>
      </w:r>
    </w:p>
    <w:p w14:paraId="59EB507B" w14:textId="77777777" w:rsidR="009F1397" w:rsidRDefault="009F1397">
      <w:pPr>
        <w:pStyle w:val="Heading1"/>
        <w:keepNext w:val="0"/>
        <w:keepLines w:val="0"/>
        <w:spacing w:before="0" w:after="0"/>
        <w:ind w:left="1700" w:hanging="1700"/>
        <w:rPr>
          <w:rFonts w:ascii="Times New Roman" w:eastAsia="Times New Roman" w:hAnsi="Times New Roman" w:cs="Times New Roman"/>
          <w:b/>
          <w:bCs/>
          <w:color w:val="1D1D1D"/>
          <w:sz w:val="32"/>
          <w:szCs w:val="32"/>
        </w:rPr>
      </w:pPr>
      <w:bookmarkStart w:id="8" w:name="_heading=h.75nmu2ja4wgp"/>
      <w:bookmarkEnd w:id="8"/>
    </w:p>
    <w:p w14:paraId="337B5C58" w14:textId="77777777" w:rsidR="009F1397" w:rsidRDefault="00000000">
      <w:pPr>
        <w:pStyle w:val="Heading1"/>
        <w:keepNext w:val="0"/>
        <w:spacing w:before="0" w:after="0"/>
        <w:ind w:left="2160" w:hanging="2160"/>
      </w:pPr>
      <w:bookmarkStart w:id="9" w:name="_heading=h.hckpe48l0a28"/>
      <w:bookmarkEnd w:id="9"/>
      <w:r>
        <w:rPr>
          <w:rFonts w:ascii="Times New Roman" w:hAnsi="Times New Roman"/>
          <w:b/>
          <w:color w:val="1D1D1D"/>
          <w:sz w:val="32"/>
        </w:rPr>
        <w:t>Cadran :</w:t>
      </w:r>
      <w:r>
        <w:rPr>
          <w:rFonts w:ascii="Times New Roman" w:hAnsi="Times New Roman"/>
          <w:color w:val="1D1D1D"/>
          <w:sz w:val="32"/>
        </w:rPr>
        <w:t xml:space="preserve"> Disponible en noir, bleu ou vert, avec éléments traités or et affichage jour et date à 3 heures. Construction sandwich en deux parties révélant des index allongés en creux. Index et aiguilles traités PVD or dotés de Super-</w:t>
      </w:r>
      <w:proofErr w:type="spellStart"/>
      <w:r>
        <w:rPr>
          <w:rFonts w:ascii="Times New Roman" w:hAnsi="Times New Roman"/>
          <w:color w:val="1D1D1D"/>
          <w:sz w:val="32"/>
        </w:rPr>
        <w:t>LumiNova</w:t>
      </w:r>
      <w:proofErr w:type="spellEnd"/>
      <w:r>
        <w:rPr>
          <w:rFonts w:ascii="Times New Roman" w:hAnsi="Times New Roman"/>
          <w:color w:val="1D1D1D"/>
          <w:sz w:val="32"/>
          <w:vertAlign w:val="superscript"/>
        </w:rPr>
        <w:t>®</w:t>
      </w:r>
      <w:r>
        <w:rPr>
          <w:rFonts w:ascii="Times New Roman" w:hAnsi="Times New Roman"/>
          <w:color w:val="1D1D1D"/>
          <w:sz w:val="32"/>
        </w:rPr>
        <w:t xml:space="preserve"> C1 X1 (émission bleue)</w:t>
      </w:r>
    </w:p>
    <w:p w14:paraId="1E9277C2" w14:textId="77777777" w:rsidR="009F1397" w:rsidRDefault="009F1397">
      <w:pPr>
        <w:pStyle w:val="Heading1"/>
        <w:keepNext w:val="0"/>
        <w:keepLines w:val="0"/>
        <w:spacing w:before="0" w:after="0"/>
        <w:ind w:left="1700" w:hanging="1700"/>
        <w:rPr>
          <w:rFonts w:ascii="Times New Roman" w:eastAsia="Times New Roman" w:hAnsi="Times New Roman" w:cs="Times New Roman"/>
          <w:b/>
          <w:bCs/>
          <w:color w:val="1D1D1D"/>
          <w:sz w:val="32"/>
          <w:szCs w:val="32"/>
        </w:rPr>
      </w:pPr>
    </w:p>
    <w:p w14:paraId="74091481" w14:textId="77777777" w:rsidR="009F1397" w:rsidRDefault="00000000">
      <w:pPr>
        <w:pStyle w:val="Heading1"/>
        <w:keepNext w:val="0"/>
        <w:keepLines w:val="0"/>
        <w:spacing w:before="0" w:after="0"/>
        <w:ind w:left="2160" w:hanging="2160"/>
        <w:rPr>
          <w:rFonts w:ascii="Times New Roman" w:eastAsia="Times New Roman" w:hAnsi="Times New Roman" w:cs="Times New Roman"/>
          <w:color w:val="1D1D1D"/>
          <w:sz w:val="32"/>
          <w:szCs w:val="32"/>
        </w:rPr>
      </w:pPr>
      <w:bookmarkStart w:id="10" w:name="_heading=h.eyp1fmozcoj0"/>
      <w:bookmarkEnd w:id="10"/>
      <w:r>
        <w:rPr>
          <w:rFonts w:ascii="Times New Roman" w:hAnsi="Times New Roman"/>
          <w:b/>
          <w:color w:val="1D1D1D"/>
          <w:sz w:val="32"/>
        </w:rPr>
        <w:t xml:space="preserve">Bracelet : </w:t>
      </w:r>
      <w:r>
        <w:rPr>
          <w:rFonts w:ascii="Times New Roman" w:hAnsi="Times New Roman"/>
          <w:color w:val="1D1D1D"/>
          <w:sz w:val="32"/>
        </w:rPr>
        <w:t xml:space="preserve">Bracelet intégré en acier brossé et poli à trois maillons avec maillons centraux traités PVD or jaune et boucle </w:t>
      </w:r>
      <w:proofErr w:type="spellStart"/>
      <w:r>
        <w:rPr>
          <w:rFonts w:ascii="Times New Roman" w:hAnsi="Times New Roman"/>
          <w:color w:val="1D1D1D"/>
          <w:sz w:val="32"/>
        </w:rPr>
        <w:t>déployante</w:t>
      </w:r>
      <w:proofErr w:type="spellEnd"/>
      <w:r>
        <w:rPr>
          <w:rFonts w:ascii="Times New Roman" w:hAnsi="Times New Roman"/>
          <w:color w:val="1D1D1D"/>
          <w:sz w:val="32"/>
        </w:rPr>
        <w:t xml:space="preserve"> papillon ; système d'interchangeabilité facile avec tout bracelet cuir ou caoutchouc </w:t>
      </w:r>
    </w:p>
    <w:p w14:paraId="1B64A090" w14:textId="77777777" w:rsidR="009F1397" w:rsidRDefault="009F1397">
      <w:pPr>
        <w:rPr>
          <w:rFonts w:ascii="Times New Roman" w:eastAsia="Times New Roman" w:hAnsi="Times New Roman" w:cs="Times New Roman"/>
          <w:sz w:val="32"/>
          <w:szCs w:val="32"/>
        </w:rPr>
      </w:pPr>
    </w:p>
    <w:p w14:paraId="7E7065FD" w14:textId="77777777" w:rsidR="009F1397" w:rsidRDefault="009F1397">
      <w:pPr>
        <w:rPr>
          <w:rFonts w:ascii="Times New Roman" w:eastAsia="Times New Roman" w:hAnsi="Times New Roman" w:cs="Times New Roman"/>
          <w:sz w:val="32"/>
          <w:szCs w:val="32"/>
        </w:rPr>
      </w:pPr>
    </w:p>
    <w:p w14:paraId="39058529" w14:textId="3DC140DD" w:rsidR="009F1397" w:rsidRDefault="00000000">
      <w:r>
        <w:rPr>
          <w:rFonts w:ascii="Times New Roman" w:hAnsi="Times New Roman"/>
          <w:sz w:val="32"/>
        </w:rPr>
        <w:lastRenderedPageBreak/>
        <w:t xml:space="preserve">Pour toute demande de renseignements pour la presse, veuillez contacter : </w:t>
      </w:r>
      <w:hyperlink r:id="rId9" w:history="1">
        <w:r w:rsidR="00103EFF" w:rsidRPr="00580CFC">
          <w:rPr>
            <w:rStyle w:val="Hyperlink"/>
            <w:rFonts w:ascii="Times New Roman" w:hAnsi="Times New Roman"/>
            <w:sz w:val="32"/>
          </w:rPr>
          <w:t>marketing@favreleuba.com</w:t>
        </w:r>
      </w:hyperlink>
      <w:r w:rsidR="00103EFF">
        <w:rPr>
          <w:rFonts w:ascii="Times New Roman" w:hAnsi="Times New Roman"/>
          <w:sz w:val="32"/>
        </w:rPr>
        <w:t xml:space="preserve"> </w:t>
      </w:r>
    </w:p>
    <w:p w14:paraId="1333C6E7" w14:textId="77777777" w:rsidR="009F1397" w:rsidRDefault="009F1397">
      <w:pPr>
        <w:rPr>
          <w:rFonts w:ascii="Times New Roman" w:eastAsia="Times New Roman" w:hAnsi="Times New Roman" w:cs="Times New Roman"/>
          <w:b/>
          <w:bCs/>
          <w:sz w:val="32"/>
          <w:szCs w:val="32"/>
        </w:rPr>
      </w:pPr>
    </w:p>
    <w:p w14:paraId="2D17D220" w14:textId="77777777" w:rsidR="00330118" w:rsidRPr="00330118" w:rsidRDefault="00330118" w:rsidP="00330118">
      <w:pPr>
        <w:rPr>
          <w:rFonts w:ascii="Times New Roman" w:eastAsia="Times New Roman" w:hAnsi="Times New Roman" w:cs="Times New Roman"/>
          <w:b/>
          <w:bCs/>
          <w:sz w:val="32"/>
          <w:szCs w:val="32"/>
        </w:rPr>
      </w:pPr>
      <w:r w:rsidRPr="00330118">
        <w:rPr>
          <w:rFonts w:ascii="Times New Roman" w:eastAsia="Times New Roman" w:hAnsi="Times New Roman" w:cs="Times New Roman"/>
          <w:b/>
          <w:bCs/>
          <w:sz w:val="32"/>
          <w:szCs w:val="32"/>
        </w:rPr>
        <w:t xml:space="preserve">À propos de Favre Leuba : </w:t>
      </w:r>
    </w:p>
    <w:p w14:paraId="05E4EE58" w14:textId="77777777" w:rsidR="00330118" w:rsidRPr="00330118" w:rsidRDefault="00330118" w:rsidP="00330118">
      <w:pPr>
        <w:rPr>
          <w:rFonts w:ascii="Times New Roman" w:eastAsia="Times New Roman" w:hAnsi="Times New Roman" w:cs="Times New Roman"/>
          <w:sz w:val="32"/>
          <w:szCs w:val="32"/>
        </w:rPr>
      </w:pPr>
      <w:r w:rsidRPr="00330118">
        <w:rPr>
          <w:rFonts w:ascii="Times New Roman" w:eastAsia="Times New Roman" w:hAnsi="Times New Roman" w:cs="Times New Roman"/>
          <w:sz w:val="32"/>
          <w:szCs w:val="32"/>
        </w:rPr>
        <w:t>Fondée en 1737 au Locle, Favre Leuba est la deuxième plus ancienne maison horlogère de Suisse. Forte d'une histoire légendaire de près de trois siècles, la marque demeure pionnière dans la création d'instruments mécaniques destinés à 'Conquérir les Frontières'.</w:t>
      </w:r>
    </w:p>
    <w:p w14:paraId="3A985BD8" w14:textId="77777777" w:rsidR="00330118" w:rsidRPr="00330118" w:rsidRDefault="00330118" w:rsidP="00330118">
      <w:pPr>
        <w:rPr>
          <w:rFonts w:ascii="Times New Roman" w:eastAsia="Times New Roman" w:hAnsi="Times New Roman" w:cs="Times New Roman"/>
          <w:sz w:val="32"/>
          <w:szCs w:val="32"/>
        </w:rPr>
      </w:pPr>
    </w:p>
    <w:p w14:paraId="020837F4" w14:textId="77777777" w:rsidR="00330118" w:rsidRPr="00330118" w:rsidRDefault="00330118" w:rsidP="00330118">
      <w:pPr>
        <w:rPr>
          <w:rFonts w:ascii="Times New Roman" w:eastAsia="Times New Roman" w:hAnsi="Times New Roman" w:cs="Times New Roman"/>
          <w:sz w:val="32"/>
          <w:szCs w:val="32"/>
        </w:rPr>
      </w:pPr>
      <w:r w:rsidRPr="00330118">
        <w:rPr>
          <w:rFonts w:ascii="Times New Roman" w:eastAsia="Times New Roman" w:hAnsi="Times New Roman" w:cs="Times New Roman"/>
          <w:sz w:val="32"/>
          <w:szCs w:val="32"/>
        </w:rPr>
        <w:t xml:space="preserve">Depuis sa relance mondiale en 2024, Favre Leuba entame une véritable 'Renaissance'. Le catalogue contemporain de la marque s’articule autour de cinq piliers distincts — Chief, </w:t>
      </w:r>
      <w:proofErr w:type="spellStart"/>
      <w:r w:rsidRPr="00330118">
        <w:rPr>
          <w:rFonts w:ascii="Times New Roman" w:eastAsia="Times New Roman" w:hAnsi="Times New Roman" w:cs="Times New Roman"/>
          <w:sz w:val="32"/>
          <w:szCs w:val="32"/>
        </w:rPr>
        <w:t>Sea</w:t>
      </w:r>
      <w:proofErr w:type="spellEnd"/>
      <w:r w:rsidRPr="00330118">
        <w:rPr>
          <w:rFonts w:ascii="Times New Roman" w:eastAsia="Times New Roman" w:hAnsi="Times New Roman" w:cs="Times New Roman"/>
          <w:sz w:val="32"/>
          <w:szCs w:val="32"/>
        </w:rPr>
        <w:t xml:space="preserve"> Sky, Deep Raider, ainsi que les collections </w:t>
      </w:r>
      <w:proofErr w:type="spellStart"/>
      <w:r w:rsidRPr="00330118">
        <w:rPr>
          <w:rFonts w:ascii="Times New Roman" w:eastAsia="Times New Roman" w:hAnsi="Times New Roman" w:cs="Times New Roman"/>
          <w:sz w:val="32"/>
          <w:szCs w:val="32"/>
        </w:rPr>
        <w:t>Harpoon</w:t>
      </w:r>
      <w:proofErr w:type="spellEnd"/>
      <w:r w:rsidRPr="00330118">
        <w:rPr>
          <w:rFonts w:ascii="Times New Roman" w:eastAsia="Times New Roman" w:hAnsi="Times New Roman" w:cs="Times New Roman"/>
          <w:sz w:val="32"/>
          <w:szCs w:val="32"/>
        </w:rPr>
        <w:t xml:space="preserve"> et 1737 récemment introduites — qui associent codes de design historiques et avancées mécaniques modernes. En 2026, Favre Leuba a franchi une étape déterminante en exposant, pour la toute première fois, au salon Watches and Wonders Geneva.</w:t>
      </w:r>
    </w:p>
    <w:p w14:paraId="10572DE3" w14:textId="77777777" w:rsidR="00330118" w:rsidRPr="00330118" w:rsidRDefault="00330118" w:rsidP="00330118">
      <w:pPr>
        <w:rPr>
          <w:rFonts w:ascii="Times New Roman" w:eastAsia="Times New Roman" w:hAnsi="Times New Roman" w:cs="Times New Roman"/>
          <w:sz w:val="32"/>
          <w:szCs w:val="32"/>
        </w:rPr>
      </w:pPr>
    </w:p>
    <w:p w14:paraId="26857200" w14:textId="4BCD50D9" w:rsidR="00330118" w:rsidRDefault="00330118">
      <w:pPr>
        <w:rPr>
          <w:rFonts w:ascii="Times New Roman" w:eastAsia="Times New Roman" w:hAnsi="Times New Roman" w:cs="Times New Roman"/>
          <w:sz w:val="32"/>
          <w:szCs w:val="32"/>
        </w:rPr>
      </w:pPr>
      <w:r w:rsidRPr="00330118">
        <w:rPr>
          <w:rFonts w:ascii="Times New Roman" w:eastAsia="Times New Roman" w:hAnsi="Times New Roman" w:cs="Times New Roman"/>
          <w:sz w:val="32"/>
          <w:szCs w:val="32"/>
        </w:rPr>
        <w:t>Désormais basée à Grenchen, la maison reste fidèle à sa mission : offrir une précision suisse et une valeur exceptionnelle à une nouvelle génération d'explorateurs et de passionnés. »</w:t>
      </w:r>
    </w:p>
    <w:p w14:paraId="0293AC98" w14:textId="77777777" w:rsidR="00401FA5" w:rsidRPr="00401FA5" w:rsidRDefault="00401FA5" w:rsidP="00401FA5">
      <w:pPr>
        <w:rPr>
          <w:rFonts w:ascii="Times New Roman" w:eastAsia="Times New Roman" w:hAnsi="Times New Roman" w:cs="Times New Roman"/>
          <w:sz w:val="32"/>
          <w:szCs w:val="32"/>
        </w:rPr>
      </w:pPr>
    </w:p>
    <w:p w14:paraId="1BBB94D7" w14:textId="77777777" w:rsidR="00401FA5" w:rsidRPr="00401FA5" w:rsidRDefault="00401FA5" w:rsidP="00401FA5">
      <w:pPr>
        <w:rPr>
          <w:rFonts w:ascii="Times New Roman" w:eastAsia="Times New Roman" w:hAnsi="Times New Roman" w:cs="Times New Roman"/>
          <w:sz w:val="32"/>
          <w:szCs w:val="32"/>
        </w:rPr>
      </w:pPr>
    </w:p>
    <w:p w14:paraId="55ECE143" w14:textId="77777777" w:rsidR="00401FA5" w:rsidRPr="00401FA5" w:rsidRDefault="00401FA5" w:rsidP="00401FA5">
      <w:pPr>
        <w:rPr>
          <w:rFonts w:ascii="Times New Roman" w:eastAsia="Times New Roman" w:hAnsi="Times New Roman" w:cs="Times New Roman"/>
          <w:sz w:val="32"/>
          <w:szCs w:val="32"/>
        </w:rPr>
      </w:pPr>
    </w:p>
    <w:p w14:paraId="12DA166B" w14:textId="77777777" w:rsidR="00401FA5" w:rsidRPr="00401FA5" w:rsidRDefault="00401FA5" w:rsidP="00401FA5">
      <w:pPr>
        <w:rPr>
          <w:rFonts w:ascii="Times New Roman" w:eastAsia="Times New Roman" w:hAnsi="Times New Roman" w:cs="Times New Roman"/>
          <w:sz w:val="32"/>
          <w:szCs w:val="32"/>
        </w:rPr>
      </w:pPr>
    </w:p>
    <w:p w14:paraId="717E7EEA" w14:textId="77777777" w:rsidR="00401FA5" w:rsidRPr="00401FA5" w:rsidRDefault="00401FA5" w:rsidP="00401FA5">
      <w:pPr>
        <w:rPr>
          <w:rFonts w:ascii="Times New Roman" w:eastAsia="Times New Roman" w:hAnsi="Times New Roman" w:cs="Times New Roman"/>
          <w:sz w:val="32"/>
          <w:szCs w:val="32"/>
        </w:rPr>
      </w:pPr>
    </w:p>
    <w:p w14:paraId="1FCF7FB6" w14:textId="77777777" w:rsidR="00401FA5" w:rsidRDefault="00401FA5" w:rsidP="00401FA5">
      <w:pPr>
        <w:rPr>
          <w:rFonts w:ascii="Times New Roman" w:eastAsia="Times New Roman" w:hAnsi="Times New Roman" w:cs="Times New Roman"/>
          <w:sz w:val="32"/>
          <w:szCs w:val="32"/>
        </w:rPr>
      </w:pPr>
    </w:p>
    <w:p w14:paraId="550A50D8" w14:textId="07CC5559" w:rsidR="00401FA5" w:rsidRPr="00401FA5" w:rsidRDefault="00401FA5" w:rsidP="00401FA5">
      <w:pPr>
        <w:tabs>
          <w:tab w:val="left" w:pos="4136"/>
        </w:tabs>
        <w:rPr>
          <w:rFonts w:ascii="Times New Roman" w:eastAsia="Times New Roman" w:hAnsi="Times New Roman" w:cs="Times New Roman"/>
          <w:sz w:val="32"/>
          <w:szCs w:val="32"/>
        </w:rPr>
      </w:pPr>
      <w:r>
        <w:rPr>
          <w:rFonts w:ascii="Times New Roman" w:eastAsia="Times New Roman" w:hAnsi="Times New Roman" w:cs="Times New Roman"/>
          <w:sz w:val="32"/>
          <w:szCs w:val="32"/>
        </w:rPr>
        <w:tab/>
      </w:r>
    </w:p>
    <w:sectPr w:rsidR="00401FA5" w:rsidRPr="00401FA5">
      <w:pgSz w:w="12240" w:h="15840"/>
      <w:pgMar w:top="993" w:right="1440" w:bottom="851" w:left="1417"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Arial">
    <w:panose1 w:val="020B0604020202020204"/>
    <w:charset w:val="00"/>
    <w:family w:val="swiss"/>
    <w:pitch w:val="variable"/>
    <w:sig w:usb0="E0002AFF" w:usb1="C0007843" w:usb2="00000009" w:usb3="00000000" w:csb0="000001FF" w:csb1="00000000"/>
    <w:embedRegular r:id="rId1" w:fontKey="{2E217675-BBBC-544E-B47A-9CFF9A2E6B05}"/>
    <w:embedBold r:id="rId2" w:fontKey="{BFEE76FA-99A6-5D45-B305-9FFF78CA442A}"/>
    <w:embedItalic r:id="rId3" w:fontKey="{8230D345-C9F8-6D40-9C26-5C3F795C5ADC}"/>
  </w:font>
  <w:font w:name="Times New Roman">
    <w:panose1 w:val="02020603050405020304"/>
    <w:charset w:val="00"/>
    <w:family w:val="roman"/>
    <w:pitch w:val="variable"/>
    <w:sig w:usb0="E0002EFF" w:usb1="C000785B" w:usb2="00000009" w:usb3="00000000" w:csb0="000001FF" w:csb1="00000000"/>
    <w:embedRegular r:id="rId4" w:fontKey="{CA4C16CD-7F41-5040-9E5F-6464DC73F155}"/>
    <w:embedBold r:id="rId5" w:fontKey="{CD03E1B5-CB32-A342-96A2-C6E360F9193C}"/>
  </w:font>
  <w:font w:name="Calibri">
    <w:panose1 w:val="020F0502020204030204"/>
    <w:charset w:val="00"/>
    <w:family w:val="swiss"/>
    <w:pitch w:val="variable"/>
    <w:sig w:usb0="E4002EFF" w:usb1="C000247B" w:usb2="00000009" w:usb3="00000000" w:csb0="000001FF" w:csb1="00000000"/>
    <w:embedRegular r:id="rId6" w:fontKey="{21F0CCB2-75F4-784D-A3E6-4C0D605A6268}"/>
  </w:font>
  <w:font w:name="Cambria">
    <w:panose1 w:val="02040503050406030204"/>
    <w:charset w:val="00"/>
    <w:family w:val="roman"/>
    <w:notTrueType/>
    <w:pitch w:val="variable"/>
    <w:sig w:usb0="E00002FF" w:usb1="400004FF" w:usb2="00000000" w:usb3="00000000" w:csb0="0000019F" w:csb1="00000000"/>
    <w:embedRegular r:id="rId7" w:fontKey="{25063FE3-39A9-DA40-9D2F-31D21F6E90E2}"/>
  </w:font>
</w:fonts>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20"/>
  <w:embedTrueTypeFonts/>
  <w:proofState w:spelling="clean" w:grammar="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F1397"/>
    <w:rsid w:val="00103EFF"/>
    <w:rsid w:val="002274CB"/>
    <w:rsid w:val="00330118"/>
    <w:rsid w:val="00333C70"/>
    <w:rsid w:val="003A54EB"/>
    <w:rsid w:val="00401FA5"/>
    <w:rsid w:val="00562D35"/>
    <w:rsid w:val="005E31D4"/>
    <w:rsid w:val="006D5BF1"/>
    <w:rsid w:val="007C496F"/>
    <w:rsid w:val="009F1397"/>
    <w:rsid w:val="00C979E9"/>
    <w:rsid w:val="00E342DA"/>
    <w:rsid w:val="00E466B7"/>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decimalSymbol w:val="."/>
  <w:listSeparator w:val=","/>
  <w14:docId w14:val="1214C36E"/>
  <w15:docId w15:val="{A9BAE141-822B-8648-83B6-3BAA8AC29C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Arial" w:eastAsia="Arial" w:hAnsi="Arial" w:cs="Arial"/>
        <w:sz w:val="22"/>
        <w:szCs w:val="22"/>
        <w:lang w:val="fr-FR" w:eastAsia="en-GB"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character" w:styleId="CommentReference">
    <w:name w:val="annotation reference"/>
    <w:basedOn w:val="DefaultParagraphFont"/>
    <w:uiPriority w:val="99"/>
    <w:semiHidden/>
    <w:unhideWhenUsed/>
    <w:rsid w:val="00333C70"/>
    <w:rPr>
      <w:sz w:val="16"/>
      <w:szCs w:val="16"/>
    </w:rPr>
  </w:style>
  <w:style w:type="paragraph" w:styleId="CommentText">
    <w:name w:val="annotation text"/>
    <w:basedOn w:val="Normal"/>
    <w:link w:val="CommentTextChar"/>
    <w:uiPriority w:val="99"/>
    <w:unhideWhenUsed/>
    <w:rsid w:val="00333C70"/>
    <w:pPr>
      <w:spacing w:line="240" w:lineRule="auto"/>
    </w:pPr>
    <w:rPr>
      <w:sz w:val="20"/>
      <w:szCs w:val="20"/>
    </w:rPr>
  </w:style>
  <w:style w:type="character" w:customStyle="1" w:styleId="CommentTextChar">
    <w:name w:val="Comment Text Char"/>
    <w:basedOn w:val="DefaultParagraphFont"/>
    <w:link w:val="CommentText"/>
    <w:uiPriority w:val="99"/>
    <w:rsid w:val="00333C70"/>
    <w:rPr>
      <w:sz w:val="20"/>
      <w:szCs w:val="20"/>
    </w:rPr>
  </w:style>
  <w:style w:type="paragraph" w:styleId="CommentSubject">
    <w:name w:val="annotation subject"/>
    <w:basedOn w:val="CommentText"/>
    <w:next w:val="CommentText"/>
    <w:link w:val="CommentSubjectChar"/>
    <w:uiPriority w:val="99"/>
    <w:semiHidden/>
    <w:unhideWhenUsed/>
    <w:rsid w:val="00333C70"/>
    <w:rPr>
      <w:b/>
      <w:bCs/>
    </w:rPr>
  </w:style>
  <w:style w:type="character" w:customStyle="1" w:styleId="CommentSubjectChar">
    <w:name w:val="Comment Subject Char"/>
    <w:basedOn w:val="CommentTextChar"/>
    <w:link w:val="CommentSubject"/>
    <w:uiPriority w:val="99"/>
    <w:semiHidden/>
    <w:rsid w:val="00333C70"/>
    <w:rPr>
      <w:b/>
      <w:bCs/>
      <w:sz w:val="20"/>
      <w:szCs w:val="20"/>
    </w:rPr>
  </w:style>
  <w:style w:type="character" w:styleId="Hyperlink">
    <w:name w:val="Hyperlink"/>
    <w:basedOn w:val="DefaultParagraphFont"/>
    <w:uiPriority w:val="99"/>
    <w:unhideWhenUsed/>
    <w:rsid w:val="00103EFF"/>
    <w:rPr>
      <w:color w:val="0000FF" w:themeColor="hyperlink"/>
      <w:u w:val="single"/>
    </w:rPr>
  </w:style>
  <w:style w:type="character" w:styleId="UnresolvedMention">
    <w:name w:val="Unresolved Mention"/>
    <w:basedOn w:val="DefaultParagraphFont"/>
    <w:uiPriority w:val="99"/>
    <w:semiHidden/>
    <w:unhideWhenUsed/>
    <w:rsid w:val="00103EF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3.png"/><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image" Target="media/image2.png"/><Relationship Id="rId11" Type="http://schemas.openxmlformats.org/officeDocument/2006/relationships/theme" Target="theme/theme1.xml"/><Relationship Id="rId5" Type="http://schemas.openxmlformats.org/officeDocument/2006/relationships/image" Target="media/image1.png"/><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mailto:marketing@favreleuba.com"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Exy/TY+M281vKINmgV/7n7jgYwA==">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</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46</TotalTime>
  <Pages>5</Pages>
  <Words>891</Words>
  <Characters>5081</Characters>
  <Application>Microsoft Office Word</Application>
  <DocSecurity>0</DocSecurity>
  <Lines>42</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5961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Susanne Hurni</dc:creator>
  <cp:lastModifiedBy>Amol Ahlawat</cp:lastModifiedBy>
  <cp:revision>6</cp:revision>
  <dcterms:created xsi:type="dcterms:W3CDTF">2026-07-29T09:40:00Z</dcterms:created>
  <dcterms:modified xsi:type="dcterms:W3CDTF">2026-08-04T07:14:00Z</dcterms:modified>
</cp:coreProperties>
</file>